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F6A4" w14:textId="77777777" w:rsidR="00E9494E" w:rsidRPr="00BC4620" w:rsidRDefault="00E9494E" w:rsidP="00E9494E">
      <w:pPr>
        <w:spacing w:before="120" w:after="120"/>
        <w:rPr>
          <w:rFonts w:ascii="Palatino Linotype" w:hAnsi="Palatino Linotype"/>
        </w:rPr>
      </w:pPr>
    </w:p>
    <w:p w14:paraId="05653864" w14:textId="350A06B7" w:rsidR="00BC4620" w:rsidRDefault="00BC4620" w:rsidP="00BC4620">
      <w:pPr>
        <w:widowControl w:val="0"/>
        <w:spacing w:before="120" w:after="120"/>
        <w:rPr>
          <w:rFonts w:ascii="Palatino Linotype" w:eastAsiaTheme="minorEastAsia" w:hAnsi="Palatino Linotype" w:cstheme="majorHAnsi"/>
          <w:i/>
          <w:iCs/>
          <w:kern w:val="0"/>
          <w:lang w:val="ro-RO" w:eastAsia="ko-KR"/>
          <w14:ligatures w14:val="none"/>
        </w:rPr>
      </w:pPr>
      <w:r w:rsidRPr="00BC4620">
        <w:rPr>
          <w:rFonts w:ascii="Palatino Linotype" w:eastAsiaTheme="minorEastAsia" w:hAnsi="Palatino Linotype" w:cstheme="majorHAnsi"/>
          <w:i/>
          <w:iCs/>
          <w:kern w:val="0"/>
          <w:lang w:val="ro-RO" w:eastAsia="ko-KR"/>
          <w14:ligatures w14:val="none"/>
        </w:rPr>
        <w:t>Informare de presă</w:t>
      </w:r>
    </w:p>
    <w:p w14:paraId="38C1F57A" w14:textId="77777777" w:rsidR="00BC4620" w:rsidRPr="00BC4620" w:rsidRDefault="00BC4620" w:rsidP="00BC4620">
      <w:pPr>
        <w:widowControl w:val="0"/>
        <w:spacing w:before="120" w:after="120"/>
        <w:rPr>
          <w:rFonts w:ascii="Palatino Linotype" w:eastAsiaTheme="minorEastAsia" w:hAnsi="Palatino Linotype" w:cstheme="majorHAnsi"/>
          <w:i/>
          <w:iCs/>
          <w:kern w:val="0"/>
          <w:lang w:val="ro-RO" w:eastAsia="ko-KR"/>
          <w14:ligatures w14:val="none"/>
        </w:rPr>
      </w:pPr>
    </w:p>
    <w:p w14:paraId="29B7B9BD" w14:textId="573ACA06" w:rsidR="00E9494E" w:rsidRPr="00BC4620" w:rsidRDefault="006E5F02" w:rsidP="00E9494E">
      <w:pPr>
        <w:widowControl w:val="0"/>
        <w:spacing w:before="120" w:after="120"/>
        <w:jc w:val="center"/>
        <w:rPr>
          <w:rFonts w:ascii="Palatino Linotype" w:eastAsiaTheme="minorEastAsia" w:hAnsi="Palatino Linotype" w:cstheme="majorHAnsi"/>
          <w:b/>
          <w:bCs/>
          <w:kern w:val="0"/>
          <w:sz w:val="28"/>
          <w:szCs w:val="28"/>
          <w:lang w:val="ro-RO" w:eastAsia="ko-KR"/>
          <w14:ligatures w14:val="none"/>
        </w:rPr>
      </w:pPr>
      <w:r w:rsidRPr="00BC4620">
        <w:rPr>
          <w:rFonts w:ascii="Palatino Linotype" w:eastAsiaTheme="minorEastAsia" w:hAnsi="Palatino Linotype" w:cstheme="majorHAnsi"/>
          <w:b/>
          <w:bCs/>
          <w:kern w:val="0"/>
          <w:sz w:val="28"/>
          <w:szCs w:val="28"/>
          <w:lang w:val="ro-RO" w:eastAsia="ko-KR"/>
          <w14:ligatures w14:val="none"/>
        </w:rPr>
        <w:t>CITR prezintă rezultatele analizei privind unitățile proiectului Nordis Mamaia Wave</w:t>
      </w:r>
    </w:p>
    <w:p w14:paraId="5B1C260A" w14:textId="268B5301" w:rsidR="006E5F02" w:rsidRPr="00BC4620" w:rsidRDefault="00BC4620" w:rsidP="00E9494E">
      <w:pPr>
        <w:spacing w:before="120" w:after="120"/>
        <w:jc w:val="both"/>
        <w:rPr>
          <w:rFonts w:ascii="Palatino Linotype" w:hAnsi="Palatino Linotype"/>
          <w:lang w:val="ro-RO"/>
        </w:rPr>
      </w:pPr>
      <w:r w:rsidRPr="00BC4620">
        <w:rPr>
          <w:rFonts w:ascii="Palatino Linotype" w:hAnsi="Palatino Linotype"/>
          <w:b/>
          <w:bCs/>
          <w:lang w:val="ro-RO"/>
        </w:rPr>
        <w:t>București, 17.11.2025</w:t>
      </w:r>
      <w:r>
        <w:rPr>
          <w:rFonts w:ascii="Palatino Linotype" w:hAnsi="Palatino Linotype"/>
          <w:lang w:val="ro-RO"/>
        </w:rPr>
        <w:t xml:space="preserve"> - </w:t>
      </w:r>
      <w:r w:rsidR="006E5F02" w:rsidRPr="00BC4620">
        <w:rPr>
          <w:rFonts w:ascii="Palatino Linotype" w:hAnsi="Palatino Linotype"/>
          <w:lang w:val="ro-RO"/>
        </w:rPr>
        <w:t xml:space="preserve">În calitate de administrator judiciar în procedura de insolvență a societății </w:t>
      </w:r>
      <w:r w:rsidR="006E5F02" w:rsidRPr="00BC4620">
        <w:rPr>
          <w:rFonts w:ascii="Palatino Linotype" w:hAnsi="Palatino Linotype"/>
          <w:b/>
          <w:bCs/>
          <w:lang w:val="ro-RO"/>
        </w:rPr>
        <w:t>Nordis Management SRL</w:t>
      </w:r>
      <w:r w:rsidR="006E5F02" w:rsidRPr="00BC4620">
        <w:rPr>
          <w:rFonts w:ascii="Palatino Linotype" w:hAnsi="Palatino Linotype"/>
          <w:lang w:val="ro-RO"/>
        </w:rPr>
        <w:t xml:space="preserve">, CITR a derulat, timp de aproximativ șapte luni, o analiză amplă asupra proiectului Nordis Mamaia Wave. Scopul a fost clar: </w:t>
      </w:r>
      <w:r w:rsidR="006E5F02" w:rsidRPr="00712FF6">
        <w:rPr>
          <w:rFonts w:ascii="Palatino Linotype" w:hAnsi="Palatino Linotype"/>
          <w:b/>
          <w:bCs/>
          <w:lang w:val="ro-RO"/>
        </w:rPr>
        <w:t>determinarea situației juridice a fiecărei unități locative și identificarea eventualelor suprapuneri de convenții asupra aceleiași unități</w:t>
      </w:r>
      <w:r w:rsidR="006E5F02" w:rsidRPr="00BC4620">
        <w:rPr>
          <w:rFonts w:ascii="Palatino Linotype" w:hAnsi="Palatino Linotype"/>
          <w:lang w:val="ro-RO"/>
        </w:rPr>
        <w:t>. Analiza a urmărit obținerea unei imagini complete asupra activelor și pasivelor societății pentru a putea desfășura în mod corect următoarele etape ale procedurii de insolvență.</w:t>
      </w:r>
    </w:p>
    <w:p w14:paraId="61EC3D59" w14:textId="4624C61F" w:rsidR="006E5F02" w:rsidRPr="00BC4620" w:rsidRDefault="006E5F02" w:rsidP="00E9494E">
      <w:pPr>
        <w:spacing w:before="120" w:after="120"/>
        <w:jc w:val="both"/>
        <w:rPr>
          <w:rFonts w:ascii="Palatino Linotype" w:hAnsi="Palatino Linotype"/>
          <w:lang w:val="ro-RO"/>
        </w:rPr>
      </w:pPr>
      <w:r w:rsidRPr="00BC4620">
        <w:rPr>
          <w:rFonts w:ascii="Palatino Linotype" w:hAnsi="Palatino Linotype"/>
          <w:lang w:val="ro-RO"/>
        </w:rPr>
        <w:t xml:space="preserve">Pentru a oferi această imagine, echipa CITR a examinat peste </w:t>
      </w:r>
      <w:r w:rsidRPr="00BC4620">
        <w:rPr>
          <w:rFonts w:ascii="Palatino Linotype" w:hAnsi="Palatino Linotype"/>
          <w:b/>
          <w:bCs/>
          <w:lang w:val="ro-RO"/>
        </w:rPr>
        <w:t>2937 de foldere de documente</w:t>
      </w:r>
      <w:r w:rsidRPr="00BC4620">
        <w:rPr>
          <w:rFonts w:ascii="Palatino Linotype" w:hAnsi="Palatino Linotype"/>
          <w:lang w:val="ro-RO"/>
        </w:rPr>
        <w:t xml:space="preserve"> provenite atât de la creditori, cât și de la compania debitoare. Informațiile au fost completate cu date de la Oficiul de Cadastru și Publicitate Imobiliară (OCPI) și de la instanțele de judecată. A fost aplicată o metodă de verificare încrucișată pentru a urmări parcursul fiecărei unități de la construcție până la înscrierea în cartea funciară și semnarea convențiilor translative de proprietate.</w:t>
      </w:r>
    </w:p>
    <w:p w14:paraId="3EFA78DE" w14:textId="77777777" w:rsidR="006E5F02" w:rsidRPr="00BC4620" w:rsidRDefault="006E5F02" w:rsidP="00E9494E">
      <w:pPr>
        <w:pStyle w:val="Heading3"/>
        <w:spacing w:before="120" w:after="120"/>
        <w:rPr>
          <w:rFonts w:ascii="Palatino Linotype" w:eastAsiaTheme="minorEastAsia" w:hAnsi="Palatino Linotype" w:cstheme="majorHAnsi"/>
          <w:b/>
          <w:bCs/>
          <w:color w:val="auto"/>
          <w:kern w:val="0"/>
          <w:sz w:val="24"/>
          <w:szCs w:val="24"/>
          <w:lang w:val="ro-RO" w:eastAsia="ko-KR"/>
          <w14:ligatures w14:val="none"/>
        </w:rPr>
      </w:pPr>
      <w:r w:rsidRPr="00BC4620">
        <w:rPr>
          <w:rFonts w:ascii="Palatino Linotype" w:eastAsiaTheme="minorEastAsia" w:hAnsi="Palatino Linotype" w:cstheme="majorHAnsi"/>
          <w:b/>
          <w:bCs/>
          <w:color w:val="auto"/>
          <w:kern w:val="0"/>
          <w:sz w:val="24"/>
          <w:szCs w:val="24"/>
          <w:lang w:val="ro-RO" w:eastAsia="ko-KR"/>
          <w14:ligatures w14:val="none"/>
        </w:rPr>
        <w:t>Rezultatele analizei</w:t>
      </w:r>
    </w:p>
    <w:p w14:paraId="7BAF2AB9" w14:textId="432E98CE" w:rsidR="00BC4620" w:rsidRPr="00712FF6" w:rsidRDefault="00712FF6" w:rsidP="00BC4620">
      <w:pPr>
        <w:pBdr>
          <w:top w:val="nil"/>
          <w:left w:val="nil"/>
          <w:bottom w:val="nil"/>
          <w:right w:val="nil"/>
          <w:between w:val="nil"/>
        </w:pBdr>
        <w:spacing w:line="240" w:lineRule="atLeast"/>
        <w:jc w:val="both"/>
        <w:rPr>
          <w:rFonts w:ascii="Palatino Linotype" w:hAnsi="Palatino Linotype"/>
          <w:lang w:val="it-IT"/>
        </w:rPr>
      </w:pPr>
      <w:r w:rsidRPr="00C230A9">
        <w:rPr>
          <w:rFonts w:ascii="Palatino Linotype" w:hAnsi="Palatino Linotype"/>
          <w:lang w:val="it-IT"/>
        </w:rPr>
        <w:t>Rezultatele analizei convențiilor încheiate de companie</w:t>
      </w:r>
      <w:r>
        <w:rPr>
          <w:rFonts w:ascii="Palatino Linotype" w:hAnsi="Palatino Linotype"/>
          <w:lang w:val="ro-RO"/>
        </w:rPr>
        <w:t xml:space="preserve"> (1408) </w:t>
      </w:r>
      <w:r w:rsidRPr="00C230A9">
        <w:rPr>
          <w:rFonts w:ascii="Palatino Linotype" w:hAnsi="Palatino Linotype"/>
          <w:lang w:val="it-IT"/>
        </w:rPr>
        <w:t>raportat la numarul unitatilor cuprinse in proiectul comercial – atat dezvoltate cat si in curs de dezvoltare arată că:</w:t>
      </w:r>
    </w:p>
    <w:p w14:paraId="026E3342" w14:textId="1995C879" w:rsidR="00BC4620" w:rsidRPr="00C230A9" w:rsidRDefault="00BC4620" w:rsidP="00BC4620">
      <w:pPr>
        <w:pBdr>
          <w:top w:val="nil"/>
          <w:left w:val="nil"/>
          <w:bottom w:val="nil"/>
          <w:right w:val="nil"/>
          <w:between w:val="nil"/>
        </w:pBdr>
        <w:spacing w:line="240" w:lineRule="atLeast"/>
        <w:jc w:val="both"/>
        <w:rPr>
          <w:rFonts w:ascii="Palatino Linotype" w:eastAsia="Palatino Linotype" w:hAnsi="Palatino Linotype" w:cs="Palatino Linotype"/>
          <w:lang w:val="it-IT"/>
        </w:rPr>
      </w:pPr>
    </w:p>
    <w:tbl>
      <w:tblPr>
        <w:tblW w:w="10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900"/>
        <w:gridCol w:w="810"/>
        <w:gridCol w:w="7651"/>
      </w:tblGrid>
      <w:tr w:rsidR="00DF70AD" w:rsidRPr="004B152E" w14:paraId="73D6FEE4" w14:textId="77777777" w:rsidTr="00DF70AD">
        <w:trPr>
          <w:trHeight w:val="288"/>
        </w:trPr>
        <w:tc>
          <w:tcPr>
            <w:tcW w:w="805" w:type="dxa"/>
            <w:tcBorders>
              <w:top w:val="single" w:sz="4" w:space="0" w:color="000000"/>
              <w:left w:val="single" w:sz="4" w:space="0" w:color="000000"/>
              <w:right w:val="single" w:sz="4" w:space="0" w:color="000000"/>
            </w:tcBorders>
            <w:vAlign w:val="center"/>
          </w:tcPr>
          <w:p w14:paraId="6D933433" w14:textId="68F239E1" w:rsidR="00DF70AD" w:rsidRPr="0067739D" w:rsidRDefault="00DF70AD" w:rsidP="00DF70AD">
            <w:pPr>
              <w:spacing w:line="240" w:lineRule="atLeast"/>
              <w:jc w:val="center"/>
              <w:rPr>
                <w:rFonts w:ascii="Palatino Linotype" w:eastAsia="Palatino Linotype" w:hAnsi="Palatino Linotype" w:cs="Palatino Linotype"/>
                <w:b/>
                <w:bCs/>
                <w:color w:val="000000"/>
                <w:sz w:val="20"/>
                <w:szCs w:val="20"/>
                <w:lang w:val="it-IT"/>
              </w:rPr>
            </w:pPr>
            <w:r>
              <w:rPr>
                <w:rFonts w:ascii="Palatino Linotype" w:eastAsia="Palatino Linotype" w:hAnsi="Palatino Linotype" w:cs="Palatino Linotype"/>
                <w:b/>
                <w:bCs/>
                <w:color w:val="000000"/>
                <w:sz w:val="20"/>
                <w:szCs w:val="20"/>
                <w:lang w:val="it-IT"/>
              </w:rPr>
              <w:t>Total</w:t>
            </w:r>
          </w:p>
        </w:tc>
        <w:tc>
          <w:tcPr>
            <w:tcW w:w="900" w:type="dxa"/>
            <w:tcBorders>
              <w:top w:val="single" w:sz="4" w:space="0" w:color="000000"/>
              <w:left w:val="nil"/>
              <w:bottom w:val="single" w:sz="4" w:space="0" w:color="000000"/>
              <w:right w:val="single" w:sz="4" w:space="0" w:color="000000"/>
            </w:tcBorders>
            <w:vAlign w:val="center"/>
          </w:tcPr>
          <w:p w14:paraId="43467985" w14:textId="5967963F" w:rsidR="00DF70AD" w:rsidRPr="00DF70AD" w:rsidRDefault="00DF70AD" w:rsidP="00DF70AD">
            <w:pPr>
              <w:spacing w:line="240" w:lineRule="atLeast"/>
              <w:jc w:val="center"/>
              <w:rPr>
                <w:rFonts w:ascii="Palatino Linotype" w:eastAsia="Palatino Linotype" w:hAnsi="Palatino Linotype" w:cs="Palatino Linotype"/>
                <w:b/>
                <w:bCs/>
                <w:color w:val="000000"/>
                <w:sz w:val="20"/>
                <w:szCs w:val="20"/>
                <w:lang w:val="ro-RO"/>
              </w:rPr>
            </w:pPr>
            <w:r>
              <w:rPr>
                <w:rFonts w:ascii="Palatino Linotype" w:eastAsia="Palatino Linotype" w:hAnsi="Palatino Linotype" w:cs="Palatino Linotype"/>
                <w:b/>
                <w:bCs/>
                <w:color w:val="000000"/>
                <w:sz w:val="20"/>
                <w:szCs w:val="20"/>
                <w:lang w:val="ro-RO"/>
              </w:rPr>
              <w:t>Nr. unități</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14:paraId="01B0B9DD" w14:textId="2A3B83FC" w:rsidR="00DF70AD" w:rsidRPr="00DF70AD" w:rsidRDefault="00DF70AD" w:rsidP="00DF70AD">
            <w:pPr>
              <w:spacing w:line="240" w:lineRule="atLeast"/>
              <w:jc w:val="center"/>
              <w:rPr>
                <w:rFonts w:ascii="Palatino Linotype" w:eastAsia="Palatino Linotype" w:hAnsi="Palatino Linotype" w:cs="Palatino Linotype"/>
                <w:b/>
                <w:bCs/>
                <w:color w:val="000000"/>
                <w:sz w:val="20"/>
                <w:szCs w:val="20"/>
                <w:lang w:val="ro-RO"/>
              </w:rPr>
            </w:pPr>
            <w:r w:rsidRPr="00DF70AD">
              <w:rPr>
                <w:rFonts w:ascii="Palatino Linotype" w:eastAsia="Palatino Linotype" w:hAnsi="Palatino Linotype" w:cs="Palatino Linotype"/>
                <w:b/>
                <w:bCs/>
                <w:color w:val="000000"/>
                <w:sz w:val="20"/>
                <w:szCs w:val="20"/>
                <w:lang w:val="ro-RO"/>
              </w:rPr>
              <w:t>Descriere</w:t>
            </w:r>
          </w:p>
        </w:tc>
      </w:tr>
      <w:tr w:rsidR="00DF70AD" w:rsidRPr="00C230A9" w14:paraId="3224B4CD" w14:textId="77777777" w:rsidTr="00DF70AD">
        <w:trPr>
          <w:trHeight w:val="288"/>
        </w:trPr>
        <w:tc>
          <w:tcPr>
            <w:tcW w:w="805" w:type="dxa"/>
            <w:vMerge w:val="restart"/>
            <w:tcBorders>
              <w:top w:val="single" w:sz="4" w:space="0" w:color="000000"/>
              <w:left w:val="single" w:sz="4" w:space="0" w:color="000000"/>
              <w:right w:val="single" w:sz="4" w:space="0" w:color="000000"/>
            </w:tcBorders>
            <w:vAlign w:val="center"/>
          </w:tcPr>
          <w:p w14:paraId="4211DF16" w14:textId="35F5C8AD" w:rsidR="00DF70AD" w:rsidRPr="0067739D" w:rsidRDefault="00DF70AD" w:rsidP="0008647C">
            <w:pPr>
              <w:spacing w:line="240" w:lineRule="atLeast"/>
              <w:jc w:val="both"/>
              <w:rPr>
                <w:rFonts w:ascii="Palatino Linotype" w:eastAsia="Palatino Linotype" w:hAnsi="Palatino Linotype" w:cs="Palatino Linotype"/>
                <w:b/>
                <w:bCs/>
                <w:color w:val="000000"/>
                <w:sz w:val="20"/>
                <w:szCs w:val="20"/>
                <w:lang w:val="it-IT"/>
              </w:rPr>
            </w:pPr>
          </w:p>
          <w:p w14:paraId="42A813A0" w14:textId="77777777" w:rsidR="00DF70AD" w:rsidRPr="0067739D" w:rsidRDefault="00DF70AD" w:rsidP="0008647C">
            <w:pPr>
              <w:spacing w:line="240" w:lineRule="atLeast"/>
              <w:jc w:val="both"/>
              <w:rPr>
                <w:rFonts w:ascii="Palatino Linotype" w:eastAsia="Palatino Linotype" w:hAnsi="Palatino Linotype" w:cs="Palatino Linotype"/>
                <w:b/>
                <w:bCs/>
                <w:color w:val="000000"/>
                <w:sz w:val="20"/>
                <w:szCs w:val="20"/>
                <w:lang w:val="it-IT"/>
              </w:rPr>
            </w:pPr>
          </w:p>
          <w:p w14:paraId="4505C9A6" w14:textId="77777777" w:rsidR="00DF70AD" w:rsidRPr="0067739D" w:rsidRDefault="00DF70AD" w:rsidP="0008647C">
            <w:pPr>
              <w:spacing w:line="240" w:lineRule="atLeast"/>
              <w:jc w:val="both"/>
              <w:rPr>
                <w:rFonts w:ascii="Palatino Linotype" w:eastAsia="Palatino Linotype" w:hAnsi="Palatino Linotype" w:cs="Palatino Linotype"/>
                <w:b/>
                <w:bCs/>
                <w:color w:val="000000"/>
                <w:sz w:val="20"/>
                <w:szCs w:val="20"/>
                <w:lang w:val="it-IT"/>
              </w:rPr>
            </w:pPr>
          </w:p>
          <w:p w14:paraId="0A15CE0F" w14:textId="313EAE58" w:rsidR="00DF70AD" w:rsidRPr="0067739D" w:rsidRDefault="00DF70AD" w:rsidP="0008647C">
            <w:pPr>
              <w:spacing w:line="240" w:lineRule="atLeast"/>
              <w:jc w:val="both"/>
              <w:rPr>
                <w:rFonts w:ascii="Palatino Linotype" w:eastAsia="Palatino Linotype" w:hAnsi="Palatino Linotype" w:cs="Palatino Linotype"/>
                <w:b/>
                <w:bCs/>
                <w:color w:val="000000"/>
                <w:sz w:val="20"/>
                <w:szCs w:val="20"/>
                <w:lang w:val="it-IT"/>
              </w:rPr>
            </w:pPr>
          </w:p>
          <w:p w14:paraId="018EC662" w14:textId="4B329DFE" w:rsidR="00DF70AD" w:rsidRPr="004B152E" w:rsidRDefault="00DF70AD" w:rsidP="0008647C">
            <w:pPr>
              <w:spacing w:line="240" w:lineRule="atLeast"/>
              <w:jc w:val="both"/>
              <w:rPr>
                <w:rFonts w:ascii="Palatino Linotype" w:eastAsia="Palatino Linotype" w:hAnsi="Palatino Linotype" w:cs="Palatino Linotype"/>
                <w:b/>
                <w:bCs/>
                <w:color w:val="000000"/>
                <w:sz w:val="20"/>
                <w:szCs w:val="20"/>
              </w:rPr>
            </w:pPr>
            <w:r w:rsidRPr="004B152E">
              <w:rPr>
                <w:rFonts w:ascii="Palatino Linotype" w:hAnsi="Palatino Linotype"/>
                <w:noProof/>
                <w:sz w:val="20"/>
                <w:szCs w:val="20"/>
              </w:rPr>
              <mc:AlternateContent>
                <mc:Choice Requires="wps">
                  <w:drawing>
                    <wp:anchor distT="0" distB="0" distL="114300" distR="114300" simplePos="0" relativeHeight="251661312" behindDoc="0" locked="0" layoutInCell="1" hidden="0" allowOverlap="1" wp14:anchorId="410AFF76" wp14:editId="2827BD61">
                      <wp:simplePos x="0" y="0"/>
                      <wp:positionH relativeFrom="column">
                        <wp:posOffset>162560</wp:posOffset>
                      </wp:positionH>
                      <wp:positionV relativeFrom="paragraph">
                        <wp:posOffset>259080</wp:posOffset>
                      </wp:positionV>
                      <wp:extent cx="254000" cy="457200"/>
                      <wp:effectExtent l="0" t="0" r="50800" b="57150"/>
                      <wp:wrapNone/>
                      <wp:docPr id="1900877934" name="Straight Arrow Connector 1"/>
                      <wp:cNvGraphicFramePr/>
                      <a:graphic xmlns:a="http://schemas.openxmlformats.org/drawingml/2006/main">
                        <a:graphicData uri="http://schemas.microsoft.com/office/word/2010/wordprocessingShape">
                          <wps:wsp>
                            <wps:cNvCnPr/>
                            <wps:spPr>
                              <a:xfrm>
                                <a:off x="0" y="0"/>
                                <a:ext cx="254000" cy="457200"/>
                              </a:xfrm>
                              <a:prstGeom prst="straightConnector1">
                                <a:avLst/>
                              </a:prstGeom>
                              <a:noFill/>
                              <a:ln w="19050" cap="flat" cmpd="sng">
                                <a:solidFill>
                                  <a:schemeClr val="accent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464050D6" id="_x0000_t32" coordsize="21600,21600" o:spt="32" o:oned="t" path="m,l21600,21600e" filled="f">
                      <v:path arrowok="t" fillok="f" o:connecttype="none"/>
                      <o:lock v:ext="edit" shapetype="t"/>
                    </v:shapetype>
                    <v:shape id="Straight Arrow Connector 1" o:spid="_x0000_s1026" type="#_x0000_t32" style="position:absolute;margin-left:12.8pt;margin-top:20.4pt;width:2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" strokecolor="#156082 [3204]" strokeweight="1.5pt">
                      <v:stroke startarrowwidth="narrow" startarrowlength="short" endarrow="block" joinstyle="miter"/>
                    </v:shape>
                  </w:pict>
                </mc:Fallback>
              </mc:AlternateContent>
            </w:r>
            <w:r w:rsidRPr="004B152E">
              <w:rPr>
                <w:rFonts w:ascii="Palatino Linotype" w:eastAsia="Palatino Linotype" w:hAnsi="Palatino Linotype" w:cs="Palatino Linotype"/>
                <w:b/>
                <w:bCs/>
                <w:color w:val="000000"/>
                <w:sz w:val="20"/>
                <w:szCs w:val="20"/>
              </w:rPr>
              <w:t>1408</w:t>
            </w:r>
          </w:p>
        </w:tc>
        <w:tc>
          <w:tcPr>
            <w:tcW w:w="900" w:type="dxa"/>
            <w:tcBorders>
              <w:top w:val="single" w:sz="4" w:space="0" w:color="000000"/>
              <w:left w:val="nil"/>
              <w:bottom w:val="single" w:sz="4" w:space="0" w:color="000000"/>
              <w:right w:val="single" w:sz="4" w:space="0" w:color="000000"/>
            </w:tcBorders>
            <w:vAlign w:val="center"/>
          </w:tcPr>
          <w:p w14:paraId="5D5D422A" w14:textId="77777777" w:rsidR="00DF70AD" w:rsidRPr="004B152E" w:rsidRDefault="00DF70AD" w:rsidP="0008647C">
            <w:pPr>
              <w:spacing w:line="240" w:lineRule="atLeast"/>
              <w:jc w:val="both"/>
              <w:rPr>
                <w:rFonts w:ascii="Palatino Linotype" w:eastAsia="Palatino Linotype" w:hAnsi="Palatino Linotype" w:cs="Palatino Linotype"/>
                <w:b/>
                <w:bCs/>
                <w:color w:val="000000"/>
                <w:sz w:val="20"/>
                <w:szCs w:val="20"/>
              </w:rPr>
            </w:pPr>
            <w:r w:rsidRPr="004B152E">
              <w:rPr>
                <w:rFonts w:ascii="Palatino Linotype" w:eastAsia="Palatino Linotype" w:hAnsi="Palatino Linotype" w:cs="Palatino Linotype"/>
                <w:b/>
                <w:bCs/>
                <w:color w:val="000000"/>
                <w:sz w:val="20"/>
                <w:szCs w:val="20"/>
              </w:rPr>
              <w:t>709</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14:paraId="5DC037AC" w14:textId="77777777" w:rsidR="00DF70AD" w:rsidRPr="00C230A9" w:rsidRDefault="00DF70AD" w:rsidP="0008647C">
            <w:pPr>
              <w:spacing w:line="240" w:lineRule="atLeast"/>
              <w:jc w:val="both"/>
              <w:rPr>
                <w:rFonts w:ascii="Palatino Linotype" w:eastAsia="Palatino Linotype" w:hAnsi="Palatino Linotype" w:cs="Palatino Linotype"/>
                <w:color w:val="000000"/>
                <w:sz w:val="20"/>
                <w:szCs w:val="20"/>
                <w:lang w:val="it-IT"/>
              </w:rPr>
            </w:pPr>
            <w:r w:rsidRPr="00C230A9">
              <w:rPr>
                <w:rFonts w:ascii="Palatino Linotype" w:eastAsia="Palatino Linotype" w:hAnsi="Palatino Linotype" w:cs="Palatino Linotype"/>
                <w:color w:val="000000"/>
                <w:sz w:val="20"/>
                <w:szCs w:val="20"/>
                <w:lang w:val="it-IT"/>
              </w:rPr>
              <w:t>unități pentru care dreptul de proprietate a fost transferat către terți/promitenți cumpărători</w:t>
            </w:r>
          </w:p>
        </w:tc>
      </w:tr>
      <w:tr w:rsidR="00DF70AD" w:rsidRPr="004B152E" w14:paraId="1D47D805" w14:textId="77777777" w:rsidTr="00DF70AD">
        <w:trPr>
          <w:trHeight w:val="288"/>
        </w:trPr>
        <w:tc>
          <w:tcPr>
            <w:tcW w:w="805" w:type="dxa"/>
            <w:vMerge/>
            <w:tcBorders>
              <w:top w:val="single" w:sz="4" w:space="0" w:color="000000"/>
              <w:left w:val="single" w:sz="4" w:space="0" w:color="000000"/>
              <w:right w:val="single" w:sz="4" w:space="0" w:color="000000"/>
            </w:tcBorders>
            <w:vAlign w:val="center"/>
          </w:tcPr>
          <w:p w14:paraId="4538E4DA" w14:textId="77777777" w:rsidR="00DF70AD" w:rsidRPr="00C230A9" w:rsidRDefault="00DF70AD" w:rsidP="0008647C">
            <w:pPr>
              <w:widowControl w:val="0"/>
              <w:pBdr>
                <w:top w:val="nil"/>
                <w:left w:val="nil"/>
                <w:bottom w:val="nil"/>
                <w:right w:val="nil"/>
                <w:between w:val="nil"/>
              </w:pBdr>
              <w:spacing w:line="240" w:lineRule="atLeast"/>
              <w:jc w:val="both"/>
              <w:rPr>
                <w:rFonts w:ascii="Palatino Linotype" w:eastAsia="Palatino Linotype" w:hAnsi="Palatino Linotype" w:cs="Palatino Linotype"/>
                <w:color w:val="000000"/>
                <w:sz w:val="20"/>
                <w:szCs w:val="20"/>
                <w:lang w:val="it-IT"/>
              </w:rPr>
            </w:pPr>
          </w:p>
        </w:tc>
        <w:tc>
          <w:tcPr>
            <w:tcW w:w="900" w:type="dxa"/>
            <w:vMerge w:val="restart"/>
            <w:tcBorders>
              <w:top w:val="single" w:sz="4" w:space="0" w:color="000000"/>
              <w:left w:val="nil"/>
              <w:right w:val="single" w:sz="4" w:space="0" w:color="000000"/>
            </w:tcBorders>
            <w:vAlign w:val="center"/>
          </w:tcPr>
          <w:p w14:paraId="32B06ADE" w14:textId="312077AE" w:rsidR="00DF70AD" w:rsidRPr="00C230A9" w:rsidRDefault="00DF70AD" w:rsidP="0008647C">
            <w:pPr>
              <w:spacing w:line="240" w:lineRule="atLeast"/>
              <w:jc w:val="both"/>
              <w:rPr>
                <w:rFonts w:ascii="Palatino Linotype" w:eastAsia="Palatino Linotype" w:hAnsi="Palatino Linotype" w:cs="Palatino Linotype"/>
                <w:b/>
                <w:bCs/>
                <w:color w:val="000000"/>
                <w:sz w:val="20"/>
                <w:szCs w:val="20"/>
                <w:lang w:val="it-IT"/>
              </w:rPr>
            </w:pPr>
            <w:r w:rsidRPr="004B152E">
              <w:rPr>
                <w:rFonts w:ascii="Palatino Linotype" w:hAnsi="Palatino Linotype"/>
                <w:noProof/>
                <w:sz w:val="20"/>
                <w:szCs w:val="20"/>
              </w:rPr>
              <mc:AlternateContent>
                <mc:Choice Requires="wps">
                  <w:drawing>
                    <wp:anchor distT="0" distB="0" distL="114300" distR="114300" simplePos="0" relativeHeight="251660288" behindDoc="0" locked="0" layoutInCell="1" hidden="0" allowOverlap="1" wp14:anchorId="75163891" wp14:editId="62C06204">
                      <wp:simplePos x="0" y="0"/>
                      <wp:positionH relativeFrom="column">
                        <wp:posOffset>-347980</wp:posOffset>
                      </wp:positionH>
                      <wp:positionV relativeFrom="paragraph">
                        <wp:posOffset>-210185</wp:posOffset>
                      </wp:positionV>
                      <wp:extent cx="245110" cy="603250"/>
                      <wp:effectExtent l="0" t="38100" r="59690" b="25400"/>
                      <wp:wrapNone/>
                      <wp:docPr id="1900877935" name="Straight Arrow Connector 3"/>
                      <wp:cNvGraphicFramePr/>
                      <a:graphic xmlns:a="http://schemas.openxmlformats.org/drawingml/2006/main">
                        <a:graphicData uri="http://schemas.microsoft.com/office/word/2010/wordprocessingShape">
                          <wps:wsp>
                            <wps:cNvCnPr/>
                            <wps:spPr>
                              <a:xfrm rot="10800000" flipH="1">
                                <a:off x="0" y="0"/>
                                <a:ext cx="245110" cy="603250"/>
                              </a:xfrm>
                              <a:prstGeom prst="straightConnector1">
                                <a:avLst/>
                              </a:prstGeom>
                              <a:noFill/>
                              <a:ln w="19050" cap="flat" cmpd="sng">
                                <a:solidFill>
                                  <a:schemeClr val="accent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56D2519" id="Straight Arrow Connector 3" o:spid="_x0000_s1026" type="#_x0000_t32" style="position:absolute;margin-left:-27.4pt;margin-top:-16.55pt;width:19.3pt;height:4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" strokecolor="#156082 [3204]" strokeweight="1.5pt">
                      <v:stroke startarrowwidth="narrow" startarrowlength="short" endarrow="block" joinstyle="miter"/>
                    </v:shape>
                  </w:pict>
                </mc:Fallback>
              </mc:AlternateContent>
            </w:r>
          </w:p>
          <w:p w14:paraId="3500A12A" w14:textId="5B8358A4" w:rsidR="00DF70AD" w:rsidRPr="00C230A9" w:rsidRDefault="00DF70AD" w:rsidP="0008647C">
            <w:pPr>
              <w:spacing w:line="240" w:lineRule="atLeast"/>
              <w:jc w:val="both"/>
              <w:rPr>
                <w:rFonts w:ascii="Palatino Linotype" w:eastAsia="Palatino Linotype" w:hAnsi="Palatino Linotype" w:cs="Palatino Linotype"/>
                <w:b/>
                <w:bCs/>
                <w:color w:val="000000"/>
                <w:sz w:val="20"/>
                <w:szCs w:val="20"/>
                <w:lang w:val="it-IT"/>
              </w:rPr>
            </w:pPr>
          </w:p>
          <w:p w14:paraId="74338BEA" w14:textId="6FE3F7FB" w:rsidR="00DF70AD" w:rsidRPr="004B152E" w:rsidRDefault="00DF70AD" w:rsidP="0008647C">
            <w:pPr>
              <w:spacing w:line="240" w:lineRule="atLeast"/>
              <w:jc w:val="both"/>
              <w:rPr>
                <w:rFonts w:ascii="Palatino Linotype" w:eastAsia="Palatino Linotype" w:hAnsi="Palatino Linotype" w:cs="Palatino Linotype"/>
                <w:b/>
                <w:bCs/>
                <w:color w:val="000000"/>
                <w:sz w:val="20"/>
                <w:szCs w:val="20"/>
              </w:rPr>
            </w:pPr>
            <w:r w:rsidRPr="004B152E">
              <w:rPr>
                <w:rFonts w:ascii="Palatino Linotype" w:hAnsi="Palatino Linotype"/>
                <w:noProof/>
                <w:sz w:val="20"/>
                <w:szCs w:val="20"/>
              </w:rPr>
              <mc:AlternateContent>
                <mc:Choice Requires="wps">
                  <w:drawing>
                    <wp:anchor distT="0" distB="0" distL="114300" distR="114300" simplePos="0" relativeHeight="251659264" behindDoc="1" locked="0" layoutInCell="1" hidden="0" allowOverlap="1" wp14:anchorId="6FCA3F9C" wp14:editId="2D55D7D5">
                      <wp:simplePos x="0" y="0"/>
                      <wp:positionH relativeFrom="column">
                        <wp:posOffset>-220980</wp:posOffset>
                      </wp:positionH>
                      <wp:positionV relativeFrom="paragraph">
                        <wp:posOffset>149860</wp:posOffset>
                      </wp:positionV>
                      <wp:extent cx="270510" cy="45085"/>
                      <wp:effectExtent l="0" t="38100" r="34290" b="88265"/>
                      <wp:wrapNone/>
                      <wp:docPr id="1900877933" name="Straight Arrow Connector 2"/>
                      <wp:cNvGraphicFramePr/>
                      <a:graphic xmlns:a="http://schemas.openxmlformats.org/drawingml/2006/main">
                        <a:graphicData uri="http://schemas.microsoft.com/office/word/2010/wordprocessingShape">
                          <wps:wsp>
                            <wps:cNvCnPr/>
                            <wps:spPr>
                              <a:xfrm>
                                <a:off x="0" y="0"/>
                                <a:ext cx="270510" cy="45085"/>
                              </a:xfrm>
                              <a:prstGeom prst="straightConnector1">
                                <a:avLst/>
                              </a:prstGeom>
                              <a:noFill/>
                              <a:ln w="19050" cap="flat" cmpd="sng">
                                <a:solidFill>
                                  <a:schemeClr val="accent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A9ADC73" id="Straight Arrow Connector 2" o:spid="_x0000_s1026" type="#_x0000_t32" style="position:absolute;margin-left:-17.4pt;margin-top:11.8pt;width:21.3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" strokecolor="#156082 [3204]" strokeweight="1.5pt">
                      <v:stroke startarrowwidth="narrow" startarrowlength="short" endarrow="block" joinstyle="miter"/>
                    </v:shape>
                  </w:pict>
                </mc:Fallback>
              </mc:AlternateContent>
            </w:r>
            <w:r w:rsidRPr="004B152E">
              <w:rPr>
                <w:rFonts w:ascii="Palatino Linotype" w:eastAsia="Palatino Linotype" w:hAnsi="Palatino Linotype" w:cs="Palatino Linotype"/>
                <w:b/>
                <w:bCs/>
                <w:color w:val="000000"/>
                <w:sz w:val="20"/>
                <w:szCs w:val="20"/>
              </w:rPr>
              <w:t>653</w:t>
            </w:r>
          </w:p>
        </w:tc>
        <w:tc>
          <w:tcPr>
            <w:tcW w:w="8461" w:type="dxa"/>
            <w:gridSpan w:val="2"/>
            <w:tcBorders>
              <w:top w:val="single" w:sz="4" w:space="0" w:color="000000"/>
              <w:left w:val="single" w:sz="4" w:space="0" w:color="000000"/>
              <w:bottom w:val="single" w:sz="4" w:space="0" w:color="auto"/>
              <w:right w:val="single" w:sz="4" w:space="0" w:color="000000"/>
            </w:tcBorders>
            <w:vAlign w:val="center"/>
          </w:tcPr>
          <w:p w14:paraId="788B9108" w14:textId="77777777" w:rsidR="00DF70AD" w:rsidRPr="004B152E" w:rsidRDefault="00DF70AD" w:rsidP="0008647C">
            <w:pPr>
              <w:spacing w:line="240" w:lineRule="atLeast"/>
              <w:jc w:val="both"/>
              <w:rPr>
                <w:rFonts w:ascii="Palatino Linotype" w:eastAsia="Palatino Linotype" w:hAnsi="Palatino Linotype" w:cs="Palatino Linotype"/>
                <w:color w:val="000000"/>
                <w:sz w:val="20"/>
                <w:szCs w:val="20"/>
              </w:rPr>
            </w:pPr>
            <w:r w:rsidRPr="004B152E">
              <w:rPr>
                <w:rFonts w:ascii="Palatino Linotype" w:eastAsia="Palatino Linotype" w:hAnsi="Palatino Linotype" w:cs="Palatino Linotype"/>
                <w:color w:val="000000"/>
                <w:sz w:val="20"/>
                <w:szCs w:val="20"/>
              </w:rPr>
              <w:t>unități pentru care s-au încheiat promisiuni de vanzare cumparare, din care:</w:t>
            </w:r>
          </w:p>
        </w:tc>
      </w:tr>
      <w:tr w:rsidR="00DF70AD" w:rsidRPr="004B152E" w14:paraId="2BFF9C67" w14:textId="77777777" w:rsidTr="00DF70AD">
        <w:trPr>
          <w:trHeight w:val="288"/>
        </w:trPr>
        <w:tc>
          <w:tcPr>
            <w:tcW w:w="805" w:type="dxa"/>
            <w:vMerge/>
            <w:tcBorders>
              <w:top w:val="single" w:sz="4" w:space="0" w:color="000000"/>
              <w:left w:val="single" w:sz="4" w:space="0" w:color="000000"/>
              <w:right w:val="single" w:sz="4" w:space="0" w:color="000000"/>
            </w:tcBorders>
            <w:vAlign w:val="center"/>
          </w:tcPr>
          <w:p w14:paraId="6836F1E2" w14:textId="77777777" w:rsidR="00DF70AD" w:rsidRPr="004B152E" w:rsidRDefault="00DF70AD" w:rsidP="0008647C">
            <w:pPr>
              <w:widowControl w:val="0"/>
              <w:pBdr>
                <w:top w:val="nil"/>
                <w:left w:val="nil"/>
                <w:bottom w:val="nil"/>
                <w:right w:val="nil"/>
                <w:between w:val="nil"/>
              </w:pBdr>
              <w:spacing w:line="240" w:lineRule="atLeast"/>
              <w:jc w:val="both"/>
              <w:rPr>
                <w:rFonts w:ascii="Palatino Linotype" w:eastAsia="Palatino Linotype" w:hAnsi="Palatino Linotype" w:cs="Palatino Linotype"/>
                <w:color w:val="000000"/>
                <w:sz w:val="20"/>
                <w:szCs w:val="20"/>
              </w:rPr>
            </w:pPr>
          </w:p>
        </w:tc>
        <w:tc>
          <w:tcPr>
            <w:tcW w:w="900" w:type="dxa"/>
            <w:vMerge/>
            <w:tcBorders>
              <w:top w:val="single" w:sz="4" w:space="0" w:color="000000"/>
              <w:left w:val="nil"/>
              <w:right w:val="single" w:sz="4" w:space="0" w:color="auto"/>
            </w:tcBorders>
            <w:vAlign w:val="center"/>
          </w:tcPr>
          <w:p w14:paraId="1EEA628A" w14:textId="77777777" w:rsidR="00DF70AD" w:rsidRPr="004B152E" w:rsidRDefault="00DF70AD" w:rsidP="0008647C">
            <w:pPr>
              <w:widowControl w:val="0"/>
              <w:pBdr>
                <w:top w:val="nil"/>
                <w:left w:val="nil"/>
                <w:bottom w:val="nil"/>
                <w:right w:val="nil"/>
                <w:between w:val="nil"/>
              </w:pBdr>
              <w:spacing w:line="240" w:lineRule="atLeast"/>
              <w:jc w:val="both"/>
              <w:rPr>
                <w:rFonts w:ascii="Palatino Linotype" w:eastAsia="Palatino Linotype" w:hAnsi="Palatino Linotype" w:cs="Palatino Linotype"/>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0D31024" w14:textId="77777777" w:rsidR="00DF70AD" w:rsidRPr="004B152E" w:rsidRDefault="00DF70AD" w:rsidP="0008647C">
            <w:pPr>
              <w:spacing w:line="240" w:lineRule="atLeast"/>
              <w:jc w:val="both"/>
              <w:rPr>
                <w:rFonts w:ascii="Palatino Linotype" w:eastAsia="Palatino Linotype" w:hAnsi="Palatino Linotype" w:cs="Palatino Linotype"/>
                <w:i/>
                <w:iCs/>
                <w:color w:val="000000"/>
                <w:sz w:val="20"/>
                <w:szCs w:val="20"/>
              </w:rPr>
            </w:pPr>
            <w:r w:rsidRPr="004B152E">
              <w:rPr>
                <w:rFonts w:ascii="Palatino Linotype" w:eastAsia="Palatino Linotype" w:hAnsi="Palatino Linotype" w:cs="Palatino Linotype"/>
                <w:i/>
                <w:iCs/>
                <w:color w:val="000000"/>
                <w:sz w:val="20"/>
                <w:szCs w:val="20"/>
              </w:rPr>
              <w:t>441</w:t>
            </w:r>
          </w:p>
        </w:tc>
        <w:tc>
          <w:tcPr>
            <w:tcW w:w="7651" w:type="dxa"/>
            <w:tcBorders>
              <w:top w:val="single" w:sz="4" w:space="0" w:color="auto"/>
              <w:left w:val="single" w:sz="4" w:space="0" w:color="auto"/>
              <w:bottom w:val="single" w:sz="4" w:space="0" w:color="auto"/>
              <w:right w:val="single" w:sz="4" w:space="0" w:color="auto"/>
            </w:tcBorders>
            <w:vAlign w:val="center"/>
          </w:tcPr>
          <w:p w14:paraId="5C1EFDE8" w14:textId="77777777" w:rsidR="00DF70AD" w:rsidRPr="004B152E" w:rsidRDefault="00DF70AD" w:rsidP="0008647C">
            <w:pPr>
              <w:spacing w:line="240" w:lineRule="atLeast"/>
              <w:jc w:val="both"/>
              <w:rPr>
                <w:rFonts w:ascii="Palatino Linotype" w:eastAsia="Palatino Linotype" w:hAnsi="Palatino Linotype" w:cs="Palatino Linotype"/>
                <w:i/>
                <w:iCs/>
                <w:color w:val="000000"/>
                <w:sz w:val="20"/>
                <w:szCs w:val="20"/>
              </w:rPr>
            </w:pPr>
            <w:r w:rsidRPr="004B152E">
              <w:rPr>
                <w:rFonts w:ascii="Palatino Linotype" w:eastAsia="Palatino Linotype" w:hAnsi="Palatino Linotype" w:cs="Palatino Linotype"/>
                <w:i/>
                <w:iCs/>
                <w:color w:val="000000"/>
                <w:sz w:val="20"/>
                <w:szCs w:val="20"/>
              </w:rPr>
              <w:t>de unități pentru care administratorul judiciar constată ca pot fi inițiate demersurile în raport de art. 131</w:t>
            </w:r>
          </w:p>
        </w:tc>
      </w:tr>
      <w:tr w:rsidR="00DF70AD" w:rsidRPr="00C230A9" w14:paraId="07B09624" w14:textId="77777777" w:rsidTr="00DF70AD">
        <w:trPr>
          <w:trHeight w:val="577"/>
        </w:trPr>
        <w:tc>
          <w:tcPr>
            <w:tcW w:w="805" w:type="dxa"/>
            <w:vMerge/>
            <w:tcBorders>
              <w:top w:val="single" w:sz="4" w:space="0" w:color="000000"/>
              <w:left w:val="single" w:sz="4" w:space="0" w:color="000000"/>
              <w:right w:val="single" w:sz="4" w:space="0" w:color="000000"/>
            </w:tcBorders>
            <w:vAlign w:val="center"/>
          </w:tcPr>
          <w:p w14:paraId="081FDD35" w14:textId="77777777" w:rsidR="00DF70AD" w:rsidRPr="004B152E" w:rsidRDefault="00DF70AD" w:rsidP="0008647C">
            <w:pPr>
              <w:widowControl w:val="0"/>
              <w:pBdr>
                <w:top w:val="nil"/>
                <w:left w:val="nil"/>
                <w:bottom w:val="nil"/>
                <w:right w:val="nil"/>
                <w:between w:val="nil"/>
              </w:pBdr>
              <w:spacing w:line="240" w:lineRule="atLeast"/>
              <w:jc w:val="both"/>
              <w:rPr>
                <w:rFonts w:ascii="Palatino Linotype" w:eastAsia="Palatino Linotype" w:hAnsi="Palatino Linotype" w:cs="Palatino Linotype"/>
                <w:i/>
                <w:iCs/>
                <w:color w:val="000000"/>
                <w:sz w:val="20"/>
                <w:szCs w:val="20"/>
              </w:rPr>
            </w:pPr>
          </w:p>
        </w:tc>
        <w:tc>
          <w:tcPr>
            <w:tcW w:w="900" w:type="dxa"/>
            <w:vMerge/>
            <w:tcBorders>
              <w:top w:val="single" w:sz="4" w:space="0" w:color="000000"/>
              <w:left w:val="nil"/>
              <w:right w:val="single" w:sz="4" w:space="0" w:color="auto"/>
            </w:tcBorders>
            <w:vAlign w:val="center"/>
          </w:tcPr>
          <w:p w14:paraId="49760029" w14:textId="77777777" w:rsidR="00DF70AD" w:rsidRPr="004B152E" w:rsidRDefault="00DF70AD" w:rsidP="0008647C">
            <w:pPr>
              <w:widowControl w:val="0"/>
              <w:pBdr>
                <w:top w:val="nil"/>
                <w:left w:val="nil"/>
                <w:bottom w:val="nil"/>
                <w:right w:val="nil"/>
                <w:between w:val="nil"/>
              </w:pBdr>
              <w:spacing w:line="240" w:lineRule="atLeast"/>
              <w:jc w:val="both"/>
              <w:rPr>
                <w:rFonts w:ascii="Palatino Linotype" w:eastAsia="Palatino Linotype" w:hAnsi="Palatino Linotype" w:cs="Palatino Linotype"/>
                <w:i/>
                <w:iCs/>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EF110CA" w14:textId="77777777" w:rsidR="00DF70AD" w:rsidRPr="004B152E" w:rsidRDefault="00DF70AD" w:rsidP="0008647C">
            <w:pPr>
              <w:spacing w:line="240" w:lineRule="atLeast"/>
              <w:jc w:val="both"/>
              <w:rPr>
                <w:rFonts w:ascii="Palatino Linotype" w:eastAsia="Palatino Linotype" w:hAnsi="Palatino Linotype" w:cs="Palatino Linotype"/>
                <w:i/>
                <w:iCs/>
                <w:color w:val="000000"/>
                <w:sz w:val="20"/>
                <w:szCs w:val="20"/>
              </w:rPr>
            </w:pPr>
            <w:r w:rsidRPr="004B152E">
              <w:rPr>
                <w:rFonts w:ascii="Palatino Linotype" w:eastAsia="Palatino Linotype" w:hAnsi="Palatino Linotype" w:cs="Palatino Linotype"/>
                <w:i/>
                <w:iCs/>
                <w:color w:val="000000"/>
                <w:sz w:val="20"/>
                <w:szCs w:val="20"/>
              </w:rPr>
              <w:t>212</w:t>
            </w:r>
          </w:p>
        </w:tc>
        <w:tc>
          <w:tcPr>
            <w:tcW w:w="7651" w:type="dxa"/>
            <w:tcBorders>
              <w:top w:val="single" w:sz="4" w:space="0" w:color="auto"/>
              <w:left w:val="single" w:sz="4" w:space="0" w:color="auto"/>
              <w:bottom w:val="single" w:sz="4" w:space="0" w:color="auto"/>
              <w:right w:val="single" w:sz="4" w:space="0" w:color="auto"/>
            </w:tcBorders>
            <w:vAlign w:val="center"/>
          </w:tcPr>
          <w:p w14:paraId="47AB0A22" w14:textId="77777777" w:rsidR="00DF70AD" w:rsidRPr="00C230A9" w:rsidRDefault="00DF70AD" w:rsidP="0008647C">
            <w:pPr>
              <w:spacing w:line="240" w:lineRule="atLeast"/>
              <w:jc w:val="both"/>
              <w:rPr>
                <w:rFonts w:ascii="Palatino Linotype" w:eastAsia="Palatino Linotype" w:hAnsi="Palatino Linotype" w:cs="Palatino Linotype"/>
                <w:i/>
                <w:iCs/>
                <w:color w:val="000000"/>
                <w:sz w:val="20"/>
                <w:szCs w:val="20"/>
                <w:lang w:val="it-IT"/>
              </w:rPr>
            </w:pPr>
            <w:r w:rsidRPr="00C230A9">
              <w:rPr>
                <w:rFonts w:ascii="Palatino Linotype" w:eastAsia="Palatino Linotype" w:hAnsi="Palatino Linotype" w:cs="Palatino Linotype"/>
                <w:i/>
                <w:iCs/>
                <w:color w:val="000000"/>
                <w:sz w:val="20"/>
                <w:szCs w:val="20"/>
                <w:lang w:val="it-IT"/>
              </w:rPr>
              <w:t>Promisiuni de vânzare cumpărare rămase fără obiect ca urmare a valorificarii acestuia către un terț sau a recompartimentarii imobilului</w:t>
            </w:r>
          </w:p>
        </w:tc>
      </w:tr>
      <w:tr w:rsidR="00DF70AD" w:rsidRPr="004B152E" w14:paraId="5612E172" w14:textId="77777777" w:rsidTr="00DF70AD">
        <w:trPr>
          <w:trHeight w:val="288"/>
        </w:trPr>
        <w:tc>
          <w:tcPr>
            <w:tcW w:w="805" w:type="dxa"/>
            <w:vMerge/>
            <w:tcBorders>
              <w:top w:val="single" w:sz="4" w:space="0" w:color="000000"/>
              <w:left w:val="single" w:sz="4" w:space="0" w:color="000000"/>
              <w:right w:val="single" w:sz="4" w:space="0" w:color="000000"/>
            </w:tcBorders>
            <w:vAlign w:val="center"/>
          </w:tcPr>
          <w:p w14:paraId="1C7CAA1D" w14:textId="77777777" w:rsidR="00DF70AD" w:rsidRPr="00C230A9" w:rsidRDefault="00DF70AD" w:rsidP="0008647C">
            <w:pPr>
              <w:widowControl w:val="0"/>
              <w:pBdr>
                <w:top w:val="nil"/>
                <w:left w:val="nil"/>
                <w:bottom w:val="nil"/>
                <w:right w:val="nil"/>
                <w:between w:val="nil"/>
              </w:pBdr>
              <w:spacing w:line="240" w:lineRule="atLeast"/>
              <w:jc w:val="both"/>
              <w:rPr>
                <w:rFonts w:ascii="Palatino Linotype" w:eastAsia="Palatino Linotype" w:hAnsi="Palatino Linotype" w:cs="Palatino Linotype"/>
                <w:i/>
                <w:iCs/>
                <w:color w:val="000000"/>
                <w:sz w:val="20"/>
                <w:szCs w:val="20"/>
                <w:lang w:val="it-IT"/>
              </w:rPr>
            </w:pPr>
          </w:p>
        </w:tc>
        <w:tc>
          <w:tcPr>
            <w:tcW w:w="900" w:type="dxa"/>
            <w:tcBorders>
              <w:top w:val="single" w:sz="4" w:space="0" w:color="000000"/>
              <w:left w:val="nil"/>
              <w:bottom w:val="single" w:sz="4" w:space="0" w:color="000000"/>
              <w:right w:val="single" w:sz="4" w:space="0" w:color="000000"/>
            </w:tcBorders>
            <w:vAlign w:val="center"/>
          </w:tcPr>
          <w:p w14:paraId="7596D580" w14:textId="77777777" w:rsidR="00DF70AD" w:rsidRPr="004B152E" w:rsidRDefault="00DF70AD" w:rsidP="0008647C">
            <w:pPr>
              <w:spacing w:line="240" w:lineRule="atLeast"/>
              <w:jc w:val="both"/>
              <w:rPr>
                <w:rFonts w:ascii="Palatino Linotype" w:eastAsia="Palatino Linotype" w:hAnsi="Palatino Linotype" w:cs="Palatino Linotype"/>
                <w:b/>
                <w:bCs/>
                <w:color w:val="000000"/>
                <w:sz w:val="20"/>
                <w:szCs w:val="20"/>
              </w:rPr>
            </w:pPr>
            <w:r w:rsidRPr="004B152E">
              <w:rPr>
                <w:rFonts w:ascii="Palatino Linotype" w:eastAsia="Palatino Linotype" w:hAnsi="Palatino Linotype" w:cs="Palatino Linotype"/>
                <w:b/>
                <w:bCs/>
                <w:color w:val="000000"/>
                <w:sz w:val="20"/>
                <w:szCs w:val="20"/>
              </w:rPr>
              <w:t>46</w:t>
            </w:r>
          </w:p>
        </w:tc>
        <w:tc>
          <w:tcPr>
            <w:tcW w:w="8461" w:type="dxa"/>
            <w:gridSpan w:val="2"/>
            <w:tcBorders>
              <w:top w:val="single" w:sz="4" w:space="0" w:color="auto"/>
              <w:left w:val="single" w:sz="4" w:space="0" w:color="000000"/>
              <w:bottom w:val="single" w:sz="4" w:space="0" w:color="000000"/>
              <w:right w:val="single" w:sz="4" w:space="0" w:color="000000"/>
            </w:tcBorders>
            <w:vAlign w:val="center"/>
          </w:tcPr>
          <w:p w14:paraId="36898DD4" w14:textId="77777777" w:rsidR="00DF70AD" w:rsidRPr="004B152E" w:rsidRDefault="00DF70AD" w:rsidP="0008647C">
            <w:pPr>
              <w:spacing w:line="240" w:lineRule="atLeast"/>
              <w:jc w:val="both"/>
              <w:rPr>
                <w:rFonts w:ascii="Palatino Linotype" w:eastAsia="Palatino Linotype" w:hAnsi="Palatino Linotype" w:cs="Palatino Linotype"/>
                <w:color w:val="000000"/>
                <w:sz w:val="20"/>
                <w:szCs w:val="20"/>
              </w:rPr>
            </w:pPr>
            <w:r w:rsidRPr="004B152E">
              <w:rPr>
                <w:rFonts w:ascii="Palatino Linotype" w:eastAsia="Palatino Linotype" w:hAnsi="Palatino Linotype" w:cs="Palatino Linotype"/>
                <w:color w:val="000000"/>
                <w:sz w:val="20"/>
                <w:szCs w:val="20"/>
              </w:rPr>
              <w:t>unități pentru care administratorul judiciar consideră că subzistă obligația companiei Nordis de predare a imobilelor, însă administratorul special consideră că această obligație nu mai subzistă din diverse motive.</w:t>
            </w:r>
          </w:p>
        </w:tc>
      </w:tr>
      <w:tr w:rsidR="00DF70AD" w:rsidRPr="004B152E" w14:paraId="3BDB54B9" w14:textId="77777777" w:rsidTr="00DF70AD">
        <w:trPr>
          <w:trHeight w:val="288"/>
        </w:trPr>
        <w:tc>
          <w:tcPr>
            <w:tcW w:w="805" w:type="dxa"/>
            <w:vMerge w:val="restart"/>
            <w:tcBorders>
              <w:top w:val="single" w:sz="4" w:space="0" w:color="000000"/>
              <w:left w:val="single" w:sz="4" w:space="0" w:color="000000"/>
              <w:right w:val="single" w:sz="4" w:space="0" w:color="000000"/>
            </w:tcBorders>
            <w:vAlign w:val="center"/>
          </w:tcPr>
          <w:p w14:paraId="2D5FADAE" w14:textId="3E9E64A7" w:rsidR="00DF70AD" w:rsidRPr="004B152E" w:rsidRDefault="00C230A9" w:rsidP="0008647C">
            <w:pPr>
              <w:spacing w:line="240" w:lineRule="atLeast"/>
              <w:jc w:val="both"/>
              <w:rPr>
                <w:rFonts w:ascii="Palatino Linotype" w:eastAsia="Palatino Linotype" w:hAnsi="Palatino Linotype" w:cs="Palatino Linotype"/>
                <w:b/>
                <w:bCs/>
                <w:color w:val="000000"/>
                <w:sz w:val="20"/>
                <w:szCs w:val="20"/>
              </w:rPr>
            </w:pPr>
            <w:r w:rsidRPr="004B152E">
              <w:rPr>
                <w:rFonts w:ascii="Palatino Linotype" w:hAnsi="Palatino Linotype"/>
                <w:noProof/>
                <w:sz w:val="20"/>
                <w:szCs w:val="20"/>
              </w:rPr>
              <mc:AlternateContent>
                <mc:Choice Requires="wps">
                  <w:drawing>
                    <wp:anchor distT="0" distB="0" distL="114300" distR="114300" simplePos="0" relativeHeight="251662336" behindDoc="1" locked="0" layoutInCell="1" hidden="0" allowOverlap="1" wp14:anchorId="3B82BB73" wp14:editId="6FDE09AA">
                      <wp:simplePos x="0" y="0"/>
                      <wp:positionH relativeFrom="column">
                        <wp:posOffset>205105</wp:posOffset>
                      </wp:positionH>
                      <wp:positionV relativeFrom="paragraph">
                        <wp:posOffset>196850</wp:posOffset>
                      </wp:positionV>
                      <wp:extent cx="270510" cy="50800"/>
                      <wp:effectExtent l="0" t="19050" r="34290" b="82550"/>
                      <wp:wrapNone/>
                      <wp:docPr id="1900877936" name="Straight Arrow Connector 4"/>
                      <wp:cNvGraphicFramePr/>
                      <a:graphic xmlns:a="http://schemas.openxmlformats.org/drawingml/2006/main">
                        <a:graphicData uri="http://schemas.microsoft.com/office/word/2010/wordprocessingShape">
                          <wps:wsp>
                            <wps:cNvCnPr/>
                            <wps:spPr>
                              <a:xfrm rot="10800000" flipH="1" flipV="1">
                                <a:off x="0" y="0"/>
                                <a:ext cx="270510" cy="50800"/>
                              </a:xfrm>
                              <a:prstGeom prst="straightConnector1">
                                <a:avLst/>
                              </a:prstGeom>
                              <a:noFill/>
                              <a:ln w="19050" cap="flat" cmpd="sng">
                                <a:solidFill>
                                  <a:schemeClr val="accent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26B99BD7" id="_x0000_t32" coordsize="21600,21600" o:spt="32" o:oned="t" path="m,l21600,21600e" filled="f">
                      <v:path arrowok="t" fillok="f" o:connecttype="none"/>
                      <o:lock v:ext="edit" shapetype="t"/>
                    </v:shapetype>
                    <v:shape id="Straight Arrow Connector 1" o:spid="_x0000_s1026" type="#_x0000_t32" style="position:absolute;margin-left:16.15pt;margin-top:15.5pt;width:21.3pt;height:4pt;rotation:180;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" strokecolor="#156082 [3204]" strokeweight="1.5pt">
                      <v:stroke startarrowwidth="narrow" startarrowlength="short" endarrow="block" joinstyle="miter"/>
                    </v:shape>
                  </w:pict>
                </mc:Fallback>
              </mc:AlternateContent>
            </w:r>
            <w:r w:rsidRPr="004B152E">
              <w:rPr>
                <w:rFonts w:ascii="Palatino Linotype" w:hAnsi="Palatino Linotype"/>
                <w:noProof/>
                <w:sz w:val="20"/>
                <w:szCs w:val="20"/>
              </w:rPr>
              <mc:AlternateContent>
                <mc:Choice Requires="wps">
                  <w:drawing>
                    <wp:anchor distT="0" distB="0" distL="114300" distR="114300" simplePos="0" relativeHeight="251664384" behindDoc="0" locked="0" layoutInCell="1" hidden="0" allowOverlap="1" wp14:anchorId="22B2663F" wp14:editId="0486BFB1">
                      <wp:simplePos x="0" y="0"/>
                      <wp:positionH relativeFrom="column">
                        <wp:posOffset>233045</wp:posOffset>
                      </wp:positionH>
                      <wp:positionV relativeFrom="paragraph">
                        <wp:posOffset>-81915</wp:posOffset>
                      </wp:positionV>
                      <wp:extent cx="245110" cy="126365"/>
                      <wp:effectExtent l="0" t="38100" r="59690" b="26035"/>
                      <wp:wrapNone/>
                      <wp:docPr id="1412678367" name="Straight Arrow Connector 1"/>
                      <wp:cNvGraphicFramePr/>
                      <a:graphic xmlns:a="http://schemas.openxmlformats.org/drawingml/2006/main">
                        <a:graphicData uri="http://schemas.microsoft.com/office/word/2010/wordprocessingShape">
                          <wps:wsp>
                            <wps:cNvCnPr/>
                            <wps:spPr>
                              <a:xfrm rot="10800000" flipH="1">
                                <a:off x="0" y="0"/>
                                <a:ext cx="245110" cy="126365"/>
                              </a:xfrm>
                              <a:prstGeom prst="straightConnector1">
                                <a:avLst/>
                              </a:prstGeom>
                              <a:noFill/>
                              <a:ln w="19050" cap="flat" cmpd="sng">
                                <a:solidFill>
                                  <a:schemeClr val="accent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B0E151D" id="Straight Arrow Connector 1" o:spid="_x0000_s1026" type="#_x0000_t32" style="position:absolute;margin-left:18.35pt;margin-top:-6.45pt;width:19.3pt;height:9.95pt;rotation:18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" strokecolor="#156082 [3204]" strokeweight="1.5pt">
                      <v:stroke startarrowwidth="narrow" startarrowlength="short" endarrow="block" joinstyle="miter"/>
                    </v:shape>
                  </w:pict>
                </mc:Fallback>
              </mc:AlternateContent>
            </w:r>
            <w:r w:rsidR="00DF70AD" w:rsidRPr="004B152E">
              <w:rPr>
                <w:rFonts w:ascii="Palatino Linotype" w:eastAsia="Palatino Linotype" w:hAnsi="Palatino Linotype" w:cs="Palatino Linotype"/>
                <w:b/>
                <w:bCs/>
                <w:sz w:val="20"/>
                <w:szCs w:val="20"/>
              </w:rPr>
              <w:t>412</w:t>
            </w:r>
          </w:p>
        </w:tc>
        <w:tc>
          <w:tcPr>
            <w:tcW w:w="900" w:type="dxa"/>
            <w:tcBorders>
              <w:top w:val="single" w:sz="4" w:space="0" w:color="000000"/>
              <w:left w:val="nil"/>
              <w:bottom w:val="single" w:sz="4" w:space="0" w:color="000000"/>
              <w:right w:val="single" w:sz="4" w:space="0" w:color="000000"/>
            </w:tcBorders>
            <w:vAlign w:val="center"/>
          </w:tcPr>
          <w:p w14:paraId="4A96A8D4" w14:textId="33210764" w:rsidR="00DF70AD" w:rsidRPr="004B152E" w:rsidRDefault="00DF70AD" w:rsidP="0008647C">
            <w:pPr>
              <w:spacing w:line="240" w:lineRule="atLeast"/>
              <w:jc w:val="both"/>
              <w:rPr>
                <w:rFonts w:ascii="Palatino Linotype" w:eastAsia="Palatino Linotype" w:hAnsi="Palatino Linotype" w:cs="Palatino Linotype"/>
                <w:b/>
                <w:bCs/>
                <w:color w:val="000000"/>
                <w:sz w:val="20"/>
                <w:szCs w:val="20"/>
              </w:rPr>
            </w:pPr>
            <w:r w:rsidRPr="004B152E">
              <w:rPr>
                <w:rFonts w:ascii="Palatino Linotype" w:eastAsia="Palatino Linotype" w:hAnsi="Palatino Linotype" w:cs="Palatino Linotype"/>
                <w:b/>
                <w:bCs/>
                <w:sz w:val="20"/>
                <w:szCs w:val="20"/>
              </w:rPr>
              <w:t>303</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14:paraId="10D7A4D6" w14:textId="77777777" w:rsidR="00DF70AD" w:rsidRPr="004B152E" w:rsidRDefault="00DF70AD" w:rsidP="0008647C">
            <w:pPr>
              <w:spacing w:line="240" w:lineRule="atLeast"/>
              <w:jc w:val="both"/>
              <w:rPr>
                <w:rFonts w:ascii="Palatino Linotype" w:eastAsia="Palatino Linotype" w:hAnsi="Palatino Linotype" w:cs="Palatino Linotype"/>
                <w:color w:val="000000"/>
                <w:sz w:val="20"/>
                <w:szCs w:val="20"/>
              </w:rPr>
            </w:pPr>
            <w:r w:rsidRPr="0067739D">
              <w:rPr>
                <w:rFonts w:ascii="Palatino Linotype" w:eastAsia="Palatino Linotype" w:hAnsi="Palatino Linotype" w:cs="Palatino Linotype"/>
                <w:color w:val="000000"/>
                <w:sz w:val="20"/>
                <w:szCs w:val="20"/>
                <w:lang w:val="it-IT"/>
              </w:rPr>
              <w:t>unități locative</w:t>
            </w:r>
            <w:r w:rsidRPr="0067739D">
              <w:rPr>
                <w:rFonts w:ascii="Palatino Linotype" w:eastAsia="Palatino Linotype" w:hAnsi="Palatino Linotype" w:cs="Palatino Linotype"/>
                <w:sz w:val="20"/>
                <w:szCs w:val="20"/>
                <w:lang w:val="it-IT"/>
              </w:rPr>
              <w:t xml:space="preserve"> </w:t>
            </w:r>
            <w:r w:rsidRPr="0067739D">
              <w:rPr>
                <w:rFonts w:ascii="Palatino Linotype" w:eastAsia="Palatino Linotype" w:hAnsi="Palatino Linotype" w:cs="Palatino Linotype"/>
                <w:color w:val="000000"/>
                <w:sz w:val="20"/>
                <w:szCs w:val="20"/>
                <w:lang w:val="it-IT"/>
              </w:rPr>
              <w:t>disponibile, pentru care nu au fost identificate  promisiuni de vanzare cumparare în derulare</w:t>
            </w:r>
            <w:r w:rsidRPr="0067739D">
              <w:rPr>
                <w:rFonts w:ascii="Palatino Linotype" w:eastAsia="Palatino Linotype" w:hAnsi="Palatino Linotype" w:cs="Palatino Linotype"/>
                <w:sz w:val="20"/>
                <w:szCs w:val="20"/>
                <w:lang w:val="it-IT"/>
              </w:rPr>
              <w:t xml:space="preserve">. </w:t>
            </w:r>
            <w:r w:rsidRPr="004B152E">
              <w:rPr>
                <w:rFonts w:ascii="Palatino Linotype" w:eastAsia="Palatino Linotype" w:hAnsi="Palatino Linotype" w:cs="Palatino Linotype"/>
                <w:sz w:val="20"/>
                <w:szCs w:val="20"/>
              </w:rPr>
              <w:t xml:space="preserve">Dintre acestea unele sunt ipotecate. </w:t>
            </w:r>
          </w:p>
        </w:tc>
      </w:tr>
      <w:tr w:rsidR="00DF70AD" w:rsidRPr="00C230A9" w14:paraId="349B3347" w14:textId="77777777" w:rsidTr="00DF70AD">
        <w:trPr>
          <w:trHeight w:val="288"/>
        </w:trPr>
        <w:tc>
          <w:tcPr>
            <w:tcW w:w="805" w:type="dxa"/>
            <w:vMerge/>
            <w:tcBorders>
              <w:left w:val="single" w:sz="4" w:space="0" w:color="000000"/>
              <w:bottom w:val="single" w:sz="4" w:space="0" w:color="000000"/>
              <w:right w:val="single" w:sz="4" w:space="0" w:color="000000"/>
            </w:tcBorders>
            <w:vAlign w:val="center"/>
          </w:tcPr>
          <w:p w14:paraId="684E12C6" w14:textId="77777777" w:rsidR="00DF70AD" w:rsidRPr="004B152E" w:rsidRDefault="00DF70AD" w:rsidP="0008647C">
            <w:pPr>
              <w:spacing w:line="240" w:lineRule="atLeast"/>
              <w:jc w:val="both"/>
              <w:rPr>
                <w:rFonts w:ascii="Palatino Linotype" w:eastAsia="Palatino Linotype" w:hAnsi="Palatino Linotype" w:cs="Palatino Linotype"/>
                <w:b/>
                <w:bCs/>
                <w:sz w:val="20"/>
                <w:szCs w:val="20"/>
              </w:rPr>
            </w:pPr>
          </w:p>
        </w:tc>
        <w:tc>
          <w:tcPr>
            <w:tcW w:w="900" w:type="dxa"/>
            <w:tcBorders>
              <w:top w:val="single" w:sz="4" w:space="0" w:color="000000"/>
              <w:left w:val="nil"/>
              <w:bottom w:val="single" w:sz="4" w:space="0" w:color="000000"/>
              <w:right w:val="single" w:sz="4" w:space="0" w:color="000000"/>
            </w:tcBorders>
            <w:vAlign w:val="center"/>
          </w:tcPr>
          <w:p w14:paraId="16332068" w14:textId="77777777" w:rsidR="00DF70AD" w:rsidRPr="004B152E" w:rsidRDefault="00DF70AD" w:rsidP="0008647C">
            <w:pPr>
              <w:spacing w:line="240" w:lineRule="atLeast"/>
              <w:jc w:val="both"/>
              <w:rPr>
                <w:rFonts w:ascii="Palatino Linotype" w:eastAsia="Palatino Linotype" w:hAnsi="Palatino Linotype" w:cs="Palatino Linotype"/>
                <w:b/>
                <w:bCs/>
                <w:sz w:val="20"/>
                <w:szCs w:val="20"/>
              </w:rPr>
            </w:pPr>
            <w:r w:rsidRPr="004B152E">
              <w:rPr>
                <w:rFonts w:ascii="Palatino Linotype" w:eastAsia="Palatino Linotype" w:hAnsi="Palatino Linotype" w:cs="Palatino Linotype"/>
                <w:b/>
                <w:bCs/>
                <w:sz w:val="20"/>
                <w:szCs w:val="20"/>
              </w:rPr>
              <w:t>109</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14:paraId="426EED87" w14:textId="510982B2" w:rsidR="00DF70AD" w:rsidRPr="00C230A9" w:rsidRDefault="00DF70AD" w:rsidP="0008647C">
            <w:pPr>
              <w:tabs>
                <w:tab w:val="num" w:pos="630"/>
              </w:tabs>
              <w:spacing w:line="240" w:lineRule="atLeast"/>
              <w:jc w:val="both"/>
              <w:rPr>
                <w:rFonts w:ascii="Palatino Linotype" w:eastAsia="Palatino Linotype" w:hAnsi="Palatino Linotype" w:cs="Palatino Linotype"/>
                <w:color w:val="000000"/>
                <w:sz w:val="20"/>
                <w:szCs w:val="20"/>
                <w:lang w:val="it-IT"/>
              </w:rPr>
            </w:pPr>
            <w:r>
              <w:rPr>
                <w:rFonts w:ascii="Palatino Linotype" w:hAnsi="Palatino Linotype"/>
                <w:sz w:val="20"/>
                <w:szCs w:val="20"/>
                <w:lang w:val="ro-RO"/>
              </w:rPr>
              <w:t>s</w:t>
            </w:r>
            <w:r w:rsidRPr="00C230A9">
              <w:rPr>
                <w:rFonts w:ascii="Palatino Linotype" w:hAnsi="Palatino Linotype"/>
                <w:sz w:val="20"/>
                <w:szCs w:val="20"/>
                <w:lang w:val="it-IT"/>
              </w:rPr>
              <w:t xml:space="preserve">pații tehnice și comerciale pentru care nu există promisiuni de vânzare cumpărare </w:t>
            </w:r>
            <w:r>
              <w:rPr>
                <w:rFonts w:ascii="Palatino Linotype" w:hAnsi="Palatino Linotype"/>
                <w:sz w:val="20"/>
                <w:szCs w:val="20"/>
                <w:lang w:val="ro-RO"/>
              </w:rPr>
              <w:t>în derulare</w:t>
            </w:r>
            <w:r w:rsidRPr="00C230A9">
              <w:rPr>
                <w:rFonts w:ascii="Palatino Linotype" w:hAnsi="Palatino Linotype"/>
                <w:sz w:val="20"/>
                <w:szCs w:val="20"/>
                <w:lang w:val="it-IT"/>
              </w:rPr>
              <w:t>.</w:t>
            </w:r>
            <w:r w:rsidR="00C230A9" w:rsidRPr="00C230A9">
              <w:rPr>
                <w:rFonts w:ascii="Palatino Linotype" w:hAnsi="Palatino Linotype"/>
                <w:noProof/>
                <w:sz w:val="20"/>
                <w:szCs w:val="20"/>
                <w:lang w:val="it-IT"/>
              </w:rPr>
              <w:t xml:space="preserve"> </w:t>
            </w:r>
          </w:p>
        </w:tc>
      </w:tr>
    </w:tbl>
    <w:p w14:paraId="2238945D" w14:textId="6FA0756B" w:rsidR="00DF70AD" w:rsidRPr="00C230A9" w:rsidRDefault="00DF70AD" w:rsidP="00BC4620">
      <w:pPr>
        <w:pBdr>
          <w:top w:val="nil"/>
          <w:left w:val="nil"/>
          <w:bottom w:val="nil"/>
          <w:right w:val="nil"/>
          <w:between w:val="nil"/>
        </w:pBdr>
        <w:spacing w:line="240" w:lineRule="atLeast"/>
        <w:jc w:val="both"/>
        <w:rPr>
          <w:rFonts w:ascii="Palatino Linotype" w:eastAsia="Palatino Linotype" w:hAnsi="Palatino Linotype" w:cs="Palatino Linotype"/>
          <w:lang w:val="it-IT"/>
        </w:rPr>
      </w:pPr>
    </w:p>
    <w:p w14:paraId="79C58E91" w14:textId="77777777" w:rsidR="00DF70AD" w:rsidRPr="00C230A9" w:rsidRDefault="00DF70AD" w:rsidP="00BC4620">
      <w:pPr>
        <w:pBdr>
          <w:top w:val="nil"/>
          <w:left w:val="nil"/>
          <w:bottom w:val="nil"/>
          <w:right w:val="nil"/>
          <w:between w:val="nil"/>
        </w:pBdr>
        <w:spacing w:line="240" w:lineRule="atLeast"/>
        <w:jc w:val="both"/>
        <w:rPr>
          <w:rFonts w:ascii="Palatino Linotype" w:eastAsia="Palatino Linotype" w:hAnsi="Palatino Linotype" w:cs="Palatino Linotype"/>
          <w:lang w:val="it-IT"/>
        </w:rPr>
      </w:pPr>
    </w:p>
    <w:p w14:paraId="00BAD674" w14:textId="77777777" w:rsidR="00BC4620" w:rsidRPr="00BC4620" w:rsidRDefault="00BC4620" w:rsidP="00BC4620">
      <w:pPr>
        <w:pStyle w:val="Heading3"/>
        <w:rPr>
          <w:rFonts w:ascii="Palatino Linotype" w:hAnsi="Palatino Linotype"/>
          <w:b/>
          <w:bCs/>
          <w:color w:val="000000" w:themeColor="text1"/>
          <w:sz w:val="24"/>
          <w:szCs w:val="24"/>
        </w:rPr>
      </w:pPr>
      <w:proofErr w:type="spellStart"/>
      <w:r w:rsidRPr="00BC4620">
        <w:rPr>
          <w:rFonts w:ascii="Palatino Linotype" w:hAnsi="Palatino Linotype"/>
          <w:b/>
          <w:bCs/>
          <w:color w:val="000000" w:themeColor="text1"/>
          <w:sz w:val="24"/>
          <w:szCs w:val="24"/>
        </w:rPr>
        <w:t>Detalierea</w:t>
      </w:r>
      <w:proofErr w:type="spellEnd"/>
      <w:r w:rsidRPr="00BC4620">
        <w:rPr>
          <w:rFonts w:ascii="Palatino Linotype" w:hAnsi="Palatino Linotype"/>
          <w:b/>
          <w:bCs/>
          <w:color w:val="000000" w:themeColor="text1"/>
          <w:sz w:val="24"/>
          <w:szCs w:val="24"/>
        </w:rPr>
        <w:t xml:space="preserve"> </w:t>
      </w:r>
      <w:proofErr w:type="spellStart"/>
      <w:r w:rsidRPr="00BC4620">
        <w:rPr>
          <w:rFonts w:ascii="Palatino Linotype" w:hAnsi="Palatino Linotype"/>
          <w:b/>
          <w:bCs/>
          <w:color w:val="000000" w:themeColor="text1"/>
          <w:sz w:val="24"/>
          <w:szCs w:val="24"/>
        </w:rPr>
        <w:t>principalelor</w:t>
      </w:r>
      <w:proofErr w:type="spellEnd"/>
      <w:r w:rsidRPr="00BC4620">
        <w:rPr>
          <w:rFonts w:ascii="Palatino Linotype" w:hAnsi="Palatino Linotype"/>
          <w:b/>
          <w:bCs/>
          <w:color w:val="000000" w:themeColor="text1"/>
          <w:sz w:val="24"/>
          <w:szCs w:val="24"/>
        </w:rPr>
        <w:t xml:space="preserve"> </w:t>
      </w:r>
      <w:proofErr w:type="spellStart"/>
      <w:r w:rsidRPr="00BC4620">
        <w:rPr>
          <w:rFonts w:ascii="Palatino Linotype" w:hAnsi="Palatino Linotype"/>
          <w:b/>
          <w:bCs/>
          <w:color w:val="000000" w:themeColor="text1"/>
          <w:sz w:val="24"/>
          <w:szCs w:val="24"/>
        </w:rPr>
        <w:t>statusuri</w:t>
      </w:r>
      <w:proofErr w:type="spellEnd"/>
    </w:p>
    <w:p w14:paraId="1AC1D99D" w14:textId="77777777" w:rsidR="00BC4620" w:rsidRPr="00BC4620" w:rsidRDefault="00BC4620" w:rsidP="00FF61A6">
      <w:pPr>
        <w:numPr>
          <w:ilvl w:val="0"/>
          <w:numId w:val="1"/>
        </w:numPr>
        <w:tabs>
          <w:tab w:val="left" w:pos="4860"/>
        </w:tabs>
        <w:jc w:val="both"/>
        <w:rPr>
          <w:rFonts w:ascii="Palatino Linotype" w:hAnsi="Palatino Linotype"/>
        </w:rPr>
      </w:pPr>
      <w:r w:rsidRPr="00BC4620">
        <w:rPr>
          <w:rFonts w:ascii="Palatino Linotype" w:hAnsi="Palatino Linotype"/>
          <w:b/>
          <w:bCs/>
        </w:rPr>
        <w:t>709 unități transferate:</w:t>
      </w:r>
      <w:r w:rsidRPr="00BC4620">
        <w:rPr>
          <w:rFonts w:ascii="Palatino Linotype" w:hAnsi="Palatino Linotype"/>
        </w:rPr>
        <w:t xml:space="preserve"> Aceste unități au părăsit patrimoniul societății; transferul s-a realizat prin contracte de vânzare-cumpărare convenționale sau în contextul executării silite ori al unor hotărâri judecătorești definitive.</w:t>
      </w:r>
    </w:p>
    <w:p w14:paraId="19C61BBA" w14:textId="77777777" w:rsidR="00BC4620" w:rsidRPr="00BC4620" w:rsidRDefault="00BC4620" w:rsidP="00FF61A6">
      <w:pPr>
        <w:numPr>
          <w:ilvl w:val="0"/>
          <w:numId w:val="1"/>
        </w:numPr>
        <w:tabs>
          <w:tab w:val="left" w:pos="4860"/>
        </w:tabs>
        <w:jc w:val="both"/>
        <w:rPr>
          <w:rFonts w:ascii="Palatino Linotype" w:hAnsi="Palatino Linotype"/>
        </w:rPr>
      </w:pPr>
      <w:r w:rsidRPr="00C230A9">
        <w:rPr>
          <w:rFonts w:ascii="Palatino Linotype" w:hAnsi="Palatino Linotype"/>
          <w:b/>
          <w:bCs/>
          <w:lang w:val="it-IT"/>
        </w:rPr>
        <w:t>441 unități cu promisiuni valide:</w:t>
      </w:r>
      <w:r w:rsidRPr="00C230A9">
        <w:rPr>
          <w:rFonts w:ascii="Palatino Linotype" w:hAnsi="Palatino Linotype"/>
          <w:lang w:val="it-IT"/>
        </w:rPr>
        <w:t xml:space="preserve"> Pentru aceste unități nu s-au identificat neconcordanțe documentare. În procedura de insolvență, promitenții pot solicita executarea promisiunilor de vânzare-cumpărare (conform art.131 din Legea insolvenței) pentru obținerea transferului dreptului de proprietate. </w:t>
      </w:r>
      <w:proofErr w:type="spellStart"/>
      <w:r w:rsidRPr="00BC4620">
        <w:rPr>
          <w:rFonts w:ascii="Palatino Linotype" w:hAnsi="Palatino Linotype"/>
        </w:rPr>
        <w:t>Fiecare</w:t>
      </w:r>
      <w:proofErr w:type="spellEnd"/>
      <w:r w:rsidRPr="00BC4620">
        <w:rPr>
          <w:rFonts w:ascii="Palatino Linotype" w:hAnsi="Palatino Linotype"/>
        </w:rPr>
        <w:t xml:space="preserve"> </w:t>
      </w:r>
      <w:proofErr w:type="spellStart"/>
      <w:r w:rsidRPr="00BC4620">
        <w:rPr>
          <w:rFonts w:ascii="Palatino Linotype" w:hAnsi="Palatino Linotype"/>
        </w:rPr>
        <w:t>solicitare</w:t>
      </w:r>
      <w:proofErr w:type="spellEnd"/>
      <w:r w:rsidRPr="00BC4620">
        <w:rPr>
          <w:rFonts w:ascii="Palatino Linotype" w:hAnsi="Palatino Linotype"/>
        </w:rPr>
        <w:t xml:space="preserve"> </w:t>
      </w:r>
      <w:proofErr w:type="spellStart"/>
      <w:r w:rsidRPr="00BC4620">
        <w:rPr>
          <w:rFonts w:ascii="Palatino Linotype" w:hAnsi="Palatino Linotype"/>
        </w:rPr>
        <w:t>va</w:t>
      </w:r>
      <w:proofErr w:type="spellEnd"/>
      <w:r w:rsidRPr="00BC4620">
        <w:rPr>
          <w:rFonts w:ascii="Palatino Linotype" w:hAnsi="Palatino Linotype"/>
        </w:rPr>
        <w:t xml:space="preserve"> fi analizată individual.</w:t>
      </w:r>
    </w:p>
    <w:p w14:paraId="60227CAE" w14:textId="77777777" w:rsidR="00BC4620" w:rsidRPr="00C230A9" w:rsidRDefault="00BC4620" w:rsidP="00FF61A6">
      <w:pPr>
        <w:numPr>
          <w:ilvl w:val="0"/>
          <w:numId w:val="1"/>
        </w:numPr>
        <w:tabs>
          <w:tab w:val="left" w:pos="4860"/>
        </w:tabs>
        <w:jc w:val="both"/>
        <w:rPr>
          <w:rFonts w:ascii="Palatino Linotype" w:hAnsi="Palatino Linotype"/>
          <w:lang w:val="it-IT"/>
        </w:rPr>
      </w:pPr>
      <w:r w:rsidRPr="00C230A9">
        <w:rPr>
          <w:rFonts w:ascii="Palatino Linotype" w:hAnsi="Palatino Linotype"/>
          <w:b/>
          <w:bCs/>
          <w:lang w:val="it-IT"/>
        </w:rPr>
        <w:t>212 promisiuni fără obiect:</w:t>
      </w:r>
      <w:r w:rsidRPr="00C230A9">
        <w:rPr>
          <w:rFonts w:ascii="Palatino Linotype" w:hAnsi="Palatino Linotype"/>
          <w:lang w:val="it-IT"/>
        </w:rPr>
        <w:t xml:space="preserve"> Aceste promisiuni nu mai au obiect deoarece unitățile au fost valorificate către un terț sau au fost recompartimentate.</w:t>
      </w:r>
    </w:p>
    <w:p w14:paraId="26161A0F" w14:textId="77777777" w:rsidR="00BC4620" w:rsidRPr="00C230A9" w:rsidRDefault="00BC4620" w:rsidP="00FF61A6">
      <w:pPr>
        <w:numPr>
          <w:ilvl w:val="0"/>
          <w:numId w:val="1"/>
        </w:numPr>
        <w:jc w:val="both"/>
        <w:rPr>
          <w:rFonts w:ascii="Palatino Linotype" w:hAnsi="Palatino Linotype"/>
          <w:lang w:val="it-IT"/>
        </w:rPr>
      </w:pPr>
      <w:r w:rsidRPr="00C230A9">
        <w:rPr>
          <w:rFonts w:ascii="Palatino Linotype" w:hAnsi="Palatino Linotype"/>
          <w:b/>
          <w:bCs/>
          <w:lang w:val="it-IT"/>
        </w:rPr>
        <w:t>46 unități cu interpretări divergente:</w:t>
      </w:r>
      <w:r w:rsidRPr="00C230A9">
        <w:rPr>
          <w:rFonts w:ascii="Palatino Linotype" w:hAnsi="Palatino Linotype"/>
          <w:lang w:val="it-IT"/>
        </w:rPr>
        <w:t xml:space="preserve"> Sunt unități pentru care administratorul judiciar consideră că obligația de predare a imobilului încă subzistă, în timp ce administratorul special apreciază că obligația a încetat. Situațiile vor fi analizate individual, în funcție de cererile promitenților.</w:t>
      </w:r>
    </w:p>
    <w:p w14:paraId="38F27077" w14:textId="77777777" w:rsidR="00BC4620" w:rsidRPr="00C230A9" w:rsidRDefault="00BC4620" w:rsidP="00FF61A6">
      <w:pPr>
        <w:numPr>
          <w:ilvl w:val="0"/>
          <w:numId w:val="1"/>
        </w:numPr>
        <w:jc w:val="both"/>
        <w:rPr>
          <w:rFonts w:ascii="Palatino Linotype" w:hAnsi="Palatino Linotype"/>
          <w:lang w:val="it-IT"/>
        </w:rPr>
      </w:pPr>
      <w:r w:rsidRPr="00C230A9">
        <w:rPr>
          <w:rFonts w:ascii="Palatino Linotype" w:hAnsi="Palatino Linotype"/>
          <w:b/>
          <w:bCs/>
          <w:lang w:val="it-IT"/>
        </w:rPr>
        <w:t>303 unități disponibile:</w:t>
      </w:r>
      <w:r w:rsidRPr="00C230A9">
        <w:rPr>
          <w:rFonts w:ascii="Palatino Linotype" w:hAnsi="Palatino Linotype"/>
          <w:lang w:val="it-IT"/>
        </w:rPr>
        <w:t xml:space="preserve"> Unități locative fără promisiuni de vânzare-cumpărare în derulare; unele dintre ele sunt ipotecate.</w:t>
      </w:r>
    </w:p>
    <w:p w14:paraId="47D155DA" w14:textId="4F53AF9F" w:rsidR="00BC4620" w:rsidRPr="00C230A9" w:rsidRDefault="00BC4620" w:rsidP="00FF61A6">
      <w:pPr>
        <w:numPr>
          <w:ilvl w:val="0"/>
          <w:numId w:val="1"/>
        </w:numPr>
        <w:jc w:val="both"/>
        <w:rPr>
          <w:rFonts w:ascii="Palatino Linotype" w:hAnsi="Palatino Linotype"/>
          <w:lang w:val="it-IT"/>
        </w:rPr>
      </w:pPr>
      <w:r w:rsidRPr="00C230A9">
        <w:rPr>
          <w:rFonts w:ascii="Palatino Linotype" w:hAnsi="Palatino Linotype"/>
          <w:b/>
          <w:bCs/>
          <w:lang w:val="it-IT"/>
        </w:rPr>
        <w:t>109 spații tehnice și comerciale</w:t>
      </w:r>
      <w:r w:rsidR="00FF61A6">
        <w:rPr>
          <w:rFonts w:ascii="Palatino Linotype" w:hAnsi="Palatino Linotype"/>
          <w:b/>
          <w:bCs/>
          <w:lang w:val="ro-RO"/>
        </w:rPr>
        <w:t xml:space="preserve"> disponibile</w:t>
      </w:r>
      <w:r w:rsidRPr="00C230A9">
        <w:rPr>
          <w:rFonts w:ascii="Palatino Linotype" w:hAnsi="Palatino Linotype"/>
          <w:b/>
          <w:bCs/>
          <w:lang w:val="it-IT"/>
        </w:rPr>
        <w:t>:</w:t>
      </w:r>
      <w:r w:rsidRPr="00C230A9">
        <w:rPr>
          <w:rFonts w:ascii="Palatino Linotype" w:hAnsi="Palatino Linotype"/>
          <w:lang w:val="it-IT"/>
        </w:rPr>
        <w:t xml:space="preserve"> Fără promisiuni de vânzare-cumpărare</w:t>
      </w:r>
      <w:r w:rsidR="00FF61A6">
        <w:rPr>
          <w:rFonts w:ascii="Palatino Linotype" w:hAnsi="Palatino Linotype"/>
          <w:lang w:val="ro-RO"/>
        </w:rPr>
        <w:t xml:space="preserve"> în derulare</w:t>
      </w:r>
      <w:r w:rsidRPr="00C230A9">
        <w:rPr>
          <w:rFonts w:ascii="Palatino Linotype" w:hAnsi="Palatino Linotype"/>
          <w:lang w:val="it-IT"/>
        </w:rPr>
        <w:t xml:space="preserve"> identificate.</w:t>
      </w:r>
    </w:p>
    <w:p w14:paraId="515181D1" w14:textId="77777777" w:rsidR="00BC4620" w:rsidRPr="00C230A9" w:rsidRDefault="00BC4620" w:rsidP="00E9494E">
      <w:pPr>
        <w:spacing w:line="240" w:lineRule="atLeast"/>
        <w:jc w:val="both"/>
        <w:rPr>
          <w:rFonts w:ascii="Palatino Linotype" w:hAnsi="Palatino Linotype"/>
          <w:lang w:val="it-IT"/>
        </w:rPr>
      </w:pPr>
    </w:p>
    <w:p w14:paraId="240BD1DA" w14:textId="77777777" w:rsidR="00FF61A6" w:rsidRPr="00C230A9" w:rsidRDefault="00FF61A6" w:rsidP="00BC4620">
      <w:pPr>
        <w:spacing w:line="240" w:lineRule="atLeast"/>
        <w:ind w:left="-284"/>
        <w:jc w:val="both"/>
        <w:rPr>
          <w:rFonts w:ascii="Palatino Linotype" w:hAnsi="Palatino Linotype"/>
          <w:b/>
          <w:bCs/>
          <w:color w:val="000000" w:themeColor="text1"/>
          <w:sz w:val="28"/>
          <w:szCs w:val="28"/>
          <w:lang w:val="it-IT"/>
        </w:rPr>
      </w:pPr>
    </w:p>
    <w:p w14:paraId="4A520178" w14:textId="72723FF0" w:rsidR="00E9494E" w:rsidRPr="00C230A9" w:rsidRDefault="006E5F02" w:rsidP="00BC4620">
      <w:pPr>
        <w:spacing w:line="240" w:lineRule="atLeast"/>
        <w:ind w:left="-284"/>
        <w:jc w:val="both"/>
        <w:rPr>
          <w:rFonts w:ascii="Palatino Linotype" w:hAnsi="Palatino Linotype"/>
          <w:b/>
          <w:bCs/>
          <w:color w:val="000000" w:themeColor="text1"/>
          <w:sz w:val="28"/>
          <w:szCs w:val="28"/>
          <w:lang w:val="it-IT"/>
        </w:rPr>
      </w:pPr>
      <w:r w:rsidRPr="00C230A9">
        <w:rPr>
          <w:rFonts w:ascii="Palatino Linotype" w:hAnsi="Palatino Linotype"/>
          <w:b/>
          <w:bCs/>
          <w:color w:val="000000" w:themeColor="text1"/>
          <w:sz w:val="28"/>
          <w:szCs w:val="28"/>
          <w:lang w:val="it-IT"/>
        </w:rPr>
        <w:t>Cauzele suprapunerilor de convenții</w:t>
      </w:r>
    </w:p>
    <w:p w14:paraId="60FDB4B5" w14:textId="77777777" w:rsidR="00E9494E" w:rsidRPr="00C230A9" w:rsidRDefault="00E9494E" w:rsidP="00E9494E">
      <w:pPr>
        <w:spacing w:line="240" w:lineRule="atLeast"/>
        <w:jc w:val="both"/>
        <w:rPr>
          <w:rFonts w:ascii="Palatino Linotype" w:hAnsi="Palatino Linotype"/>
          <w:b/>
          <w:bCs/>
          <w:color w:val="000000" w:themeColor="text1"/>
          <w:lang w:val="it-IT"/>
        </w:rPr>
      </w:pPr>
    </w:p>
    <w:p w14:paraId="371DF49A" w14:textId="3C1317A3" w:rsidR="00BC4620" w:rsidRPr="00C230A9" w:rsidRDefault="00E9494E" w:rsidP="00BE1CCB">
      <w:pPr>
        <w:spacing w:line="240" w:lineRule="atLeast"/>
        <w:ind w:left="-270"/>
        <w:jc w:val="both"/>
        <w:rPr>
          <w:rFonts w:ascii="Palatino Linotype" w:eastAsia="Palatino Linotype" w:hAnsi="Palatino Linotype" w:cs="Palatino Linotype"/>
          <w:lang w:val="it-IT"/>
        </w:rPr>
      </w:pPr>
      <w:r w:rsidRPr="00C230A9">
        <w:rPr>
          <w:rFonts w:ascii="Palatino Linotype" w:eastAsia="Palatino Linotype" w:hAnsi="Palatino Linotype" w:cs="Palatino Linotype"/>
          <w:lang w:val="it-IT"/>
        </w:rPr>
        <w:t xml:space="preserve">Cauzele care au determinat suprapunerile de convenții și identificarea a 212 convenții </w:t>
      </w:r>
      <w:r w:rsidR="00FF61A6">
        <w:rPr>
          <w:rFonts w:ascii="Palatino Linotype" w:eastAsia="Palatino Linotype" w:hAnsi="Palatino Linotype" w:cs="Palatino Linotype"/>
          <w:lang w:val="ro-RO"/>
        </w:rPr>
        <w:t xml:space="preserve">în derulare, </w:t>
      </w:r>
      <w:r w:rsidRPr="00C230A9">
        <w:rPr>
          <w:rFonts w:ascii="Palatino Linotype" w:eastAsia="Palatino Linotype" w:hAnsi="Palatino Linotype" w:cs="Palatino Linotype"/>
          <w:lang w:val="it-IT"/>
        </w:rPr>
        <w:t>rămase fără obiect sunt următoarele:</w:t>
      </w:r>
    </w:p>
    <w:p w14:paraId="4F533E63" w14:textId="77777777" w:rsidR="00BE1CCB" w:rsidRPr="00C230A9" w:rsidRDefault="00BE1CCB" w:rsidP="00BE1CCB">
      <w:pPr>
        <w:spacing w:line="240" w:lineRule="atLeast"/>
        <w:ind w:left="-270"/>
        <w:jc w:val="both"/>
        <w:rPr>
          <w:rFonts w:ascii="Palatino Linotype" w:eastAsia="Palatino Linotype" w:hAnsi="Palatino Linotype" w:cs="Palatino Linotype"/>
          <w:lang w:val="it-IT"/>
        </w:rPr>
      </w:pPr>
    </w:p>
    <w:p w14:paraId="3E455A7E" w14:textId="5B4EF6A6" w:rsidR="00E9494E" w:rsidRPr="00C230A9" w:rsidRDefault="00E9494E" w:rsidP="00E9494E">
      <w:pPr>
        <w:pBdr>
          <w:top w:val="nil"/>
          <w:left w:val="nil"/>
          <w:bottom w:val="nil"/>
          <w:right w:val="nil"/>
          <w:between w:val="nil"/>
        </w:pBdr>
        <w:spacing w:after="160" w:line="240" w:lineRule="atLeast"/>
        <w:jc w:val="both"/>
        <w:rPr>
          <w:rFonts w:ascii="Palatino Linotype" w:eastAsia="Palatino Linotype" w:hAnsi="Palatino Linotype" w:cs="Palatino Linotype"/>
          <w:b/>
          <w:bCs/>
          <w:color w:val="000000"/>
          <w:lang w:val="it-IT"/>
        </w:rPr>
      </w:pPr>
      <w:r w:rsidRPr="00C230A9">
        <w:rPr>
          <w:rFonts w:ascii="Palatino Linotype" w:eastAsia="Palatino Linotype" w:hAnsi="Palatino Linotype" w:cs="Palatino Linotype"/>
          <w:b/>
          <w:bCs/>
          <w:lang w:val="it-IT"/>
        </w:rPr>
        <w:t xml:space="preserve">1. </w:t>
      </w:r>
      <w:r w:rsidRPr="00C230A9">
        <w:rPr>
          <w:rFonts w:ascii="Palatino Linotype" w:eastAsia="Palatino Linotype" w:hAnsi="Palatino Linotype" w:cs="Palatino Linotype"/>
          <w:b/>
          <w:bCs/>
          <w:color w:val="000000"/>
          <w:lang w:val="it-IT"/>
        </w:rPr>
        <w:t>Încheierea simultană mai multor conventii cu diferite persoane pentru aceeasi unitate</w:t>
      </w:r>
    </w:p>
    <w:p w14:paraId="05AD73FC" w14:textId="77777777" w:rsidR="00E9494E" w:rsidRPr="00BC4620" w:rsidRDefault="00E9494E" w:rsidP="00E9494E">
      <w:pPr>
        <w:spacing w:line="240" w:lineRule="atLeast"/>
        <w:ind w:left="-270"/>
        <w:jc w:val="both"/>
        <w:rPr>
          <w:rFonts w:ascii="Palatino Linotype" w:eastAsia="Palatino Linotype" w:hAnsi="Palatino Linotype" w:cs="Palatino Linotype"/>
          <w:b/>
          <w:bCs/>
        </w:rPr>
      </w:pPr>
      <w:proofErr w:type="spellStart"/>
      <w:r w:rsidRPr="00BC4620">
        <w:rPr>
          <w:rFonts w:ascii="Palatino Linotype" w:eastAsia="Palatino Linotype" w:hAnsi="Palatino Linotype" w:cs="Palatino Linotype"/>
          <w:b/>
          <w:bCs/>
        </w:rPr>
        <w:t>Exemple</w:t>
      </w:r>
      <w:proofErr w:type="spellEnd"/>
      <w:r w:rsidRPr="00BC4620">
        <w:rPr>
          <w:rFonts w:ascii="Palatino Linotype" w:eastAsia="Palatino Linotype" w:hAnsi="Palatino Linotype" w:cs="Palatino Linotype"/>
          <w:b/>
          <w:bCs/>
        </w:rPr>
        <w:t xml:space="preserve"> de </w:t>
      </w:r>
      <w:proofErr w:type="spellStart"/>
      <w:r w:rsidRPr="00BC4620">
        <w:rPr>
          <w:rFonts w:ascii="Palatino Linotype" w:eastAsia="Palatino Linotype" w:hAnsi="Palatino Linotype" w:cs="Palatino Linotype"/>
          <w:b/>
          <w:bCs/>
        </w:rPr>
        <w:t>situații</w:t>
      </w:r>
      <w:proofErr w:type="spellEnd"/>
      <w:r w:rsidRPr="00BC4620">
        <w:rPr>
          <w:rFonts w:ascii="Palatino Linotype" w:eastAsia="Palatino Linotype" w:hAnsi="Palatino Linotype" w:cs="Palatino Linotype"/>
          <w:b/>
          <w:bCs/>
        </w:rPr>
        <w:t xml:space="preserve"> </w:t>
      </w:r>
      <w:proofErr w:type="spellStart"/>
      <w:r w:rsidRPr="00BC4620">
        <w:rPr>
          <w:rFonts w:ascii="Palatino Linotype" w:eastAsia="Palatino Linotype" w:hAnsi="Palatino Linotype" w:cs="Palatino Linotype"/>
          <w:b/>
          <w:bCs/>
        </w:rPr>
        <w:t>întâlnite</w:t>
      </w:r>
      <w:proofErr w:type="spellEnd"/>
      <w:r w:rsidRPr="00BC4620">
        <w:rPr>
          <w:rFonts w:ascii="Palatino Linotype" w:eastAsia="Palatino Linotype" w:hAnsi="Palatino Linotype" w:cs="Palatino Linotype"/>
          <w:b/>
          <w:bCs/>
        </w:rPr>
        <w:t>:</w:t>
      </w:r>
    </w:p>
    <w:p w14:paraId="6A4746B6" w14:textId="77777777" w:rsidR="00E9494E" w:rsidRPr="00C230A9" w:rsidRDefault="00E9494E" w:rsidP="00E9494E">
      <w:pPr>
        <w:numPr>
          <w:ilvl w:val="1"/>
          <w:numId w:val="5"/>
        </w:numPr>
        <w:pBdr>
          <w:top w:val="nil"/>
          <w:left w:val="nil"/>
          <w:bottom w:val="nil"/>
          <w:right w:val="nil"/>
          <w:between w:val="nil"/>
        </w:pBdr>
        <w:tabs>
          <w:tab w:val="left" w:pos="1080"/>
        </w:tabs>
        <w:spacing w:line="240" w:lineRule="atLeast"/>
        <w:ind w:left="540" w:hanging="72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Unitate X promisă inițial lui A, ulterior vândută lui B.</w:t>
      </w:r>
    </w:p>
    <w:p w14:paraId="4B70AED9" w14:textId="77777777" w:rsidR="00E9494E" w:rsidRPr="00C230A9" w:rsidRDefault="00E9494E" w:rsidP="00E9494E">
      <w:pPr>
        <w:numPr>
          <w:ilvl w:val="1"/>
          <w:numId w:val="5"/>
        </w:numPr>
        <w:pBdr>
          <w:top w:val="nil"/>
          <w:left w:val="nil"/>
          <w:bottom w:val="nil"/>
          <w:right w:val="nil"/>
          <w:between w:val="nil"/>
        </w:pBdr>
        <w:tabs>
          <w:tab w:val="left" w:pos="1080"/>
        </w:tabs>
        <w:spacing w:line="240" w:lineRule="atLeast"/>
        <w:ind w:left="540" w:hanging="72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Unitate Y promisă inițial lui C, ulterior promisă lui D, iar în final vândută lui E.</w:t>
      </w:r>
    </w:p>
    <w:p w14:paraId="3CF0A8E7" w14:textId="77777777" w:rsidR="00E9494E" w:rsidRPr="00C230A9" w:rsidRDefault="00E9494E" w:rsidP="00E9494E">
      <w:pPr>
        <w:numPr>
          <w:ilvl w:val="1"/>
          <w:numId w:val="5"/>
        </w:numPr>
        <w:pBdr>
          <w:top w:val="nil"/>
          <w:left w:val="nil"/>
          <w:bottom w:val="nil"/>
          <w:right w:val="nil"/>
          <w:between w:val="nil"/>
        </w:pBdr>
        <w:tabs>
          <w:tab w:val="left" w:pos="1080"/>
        </w:tabs>
        <w:spacing w:line="240" w:lineRule="atLeast"/>
        <w:ind w:left="540" w:hanging="72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Unitate Z promisă lui F, ulterior promisă și lui G, rămasă în patrimoniul companiei (nevalorificată).</w:t>
      </w:r>
    </w:p>
    <w:p w14:paraId="778C793C" w14:textId="77777777" w:rsidR="00E9494E" w:rsidRPr="00C230A9" w:rsidRDefault="00E9494E" w:rsidP="00E9494E">
      <w:pPr>
        <w:pBdr>
          <w:top w:val="nil"/>
          <w:left w:val="nil"/>
          <w:bottom w:val="nil"/>
          <w:right w:val="nil"/>
          <w:between w:val="nil"/>
        </w:pBdr>
        <w:tabs>
          <w:tab w:val="left" w:pos="1080"/>
        </w:tabs>
        <w:spacing w:line="240" w:lineRule="atLeast"/>
        <w:ind w:left="720"/>
        <w:jc w:val="both"/>
        <w:rPr>
          <w:rFonts w:ascii="Palatino Linotype" w:eastAsia="Palatino Linotype" w:hAnsi="Palatino Linotype" w:cs="Palatino Linotype"/>
          <w:color w:val="000000"/>
          <w:lang w:val="it-IT"/>
        </w:rPr>
      </w:pPr>
    </w:p>
    <w:p w14:paraId="6313F266" w14:textId="7D9DBC0C" w:rsidR="00E9494E" w:rsidRPr="00C230A9" w:rsidRDefault="00E9494E" w:rsidP="00E9494E">
      <w:pPr>
        <w:pBdr>
          <w:top w:val="nil"/>
          <w:left w:val="nil"/>
          <w:bottom w:val="nil"/>
          <w:right w:val="nil"/>
          <w:between w:val="nil"/>
        </w:pBdr>
        <w:spacing w:line="240" w:lineRule="atLeast"/>
        <w:jc w:val="both"/>
        <w:rPr>
          <w:rFonts w:ascii="Palatino Linotype" w:eastAsia="Palatino Linotype" w:hAnsi="Palatino Linotype" w:cs="Palatino Linotype"/>
          <w:b/>
          <w:bCs/>
          <w:color w:val="000000"/>
          <w:lang w:val="it-IT"/>
        </w:rPr>
      </w:pPr>
      <w:r w:rsidRPr="00C230A9">
        <w:rPr>
          <w:rFonts w:ascii="Palatino Linotype" w:eastAsia="Palatino Linotype" w:hAnsi="Palatino Linotype" w:cs="Palatino Linotype"/>
          <w:b/>
          <w:bCs/>
          <w:color w:val="000000"/>
          <w:lang w:val="it-IT"/>
        </w:rPr>
        <w:t>2. Încheierea mai multor convenții cu diferite persoane, concomitent cu recompartimentarea unităților</w:t>
      </w:r>
    </w:p>
    <w:p w14:paraId="40FE6CD8" w14:textId="77777777" w:rsidR="00BC4620" w:rsidRPr="00C230A9" w:rsidRDefault="00BC4620" w:rsidP="00E9494E">
      <w:pPr>
        <w:pBdr>
          <w:top w:val="nil"/>
          <w:left w:val="nil"/>
          <w:bottom w:val="nil"/>
          <w:right w:val="nil"/>
          <w:between w:val="nil"/>
        </w:pBdr>
        <w:spacing w:line="240" w:lineRule="atLeast"/>
        <w:jc w:val="both"/>
        <w:rPr>
          <w:rFonts w:ascii="Palatino Linotype" w:eastAsia="Palatino Linotype" w:hAnsi="Palatino Linotype" w:cs="Palatino Linotype"/>
          <w:b/>
          <w:bCs/>
          <w:color w:val="000000"/>
          <w:lang w:val="it-IT"/>
        </w:rPr>
      </w:pPr>
    </w:p>
    <w:p w14:paraId="0F4719C9" w14:textId="77777777" w:rsidR="00E9494E" w:rsidRPr="00C230A9" w:rsidRDefault="00E9494E" w:rsidP="00E9494E">
      <w:pPr>
        <w:pBdr>
          <w:top w:val="nil"/>
          <w:left w:val="nil"/>
          <w:bottom w:val="nil"/>
          <w:right w:val="nil"/>
          <w:between w:val="nil"/>
        </w:pBdr>
        <w:tabs>
          <w:tab w:val="left" w:pos="1080"/>
        </w:tabs>
        <w:spacing w:line="240" w:lineRule="atLeast"/>
        <w:ind w:left="-270"/>
        <w:jc w:val="both"/>
        <w:rPr>
          <w:rFonts w:ascii="Palatino Linotype" w:eastAsia="Palatino Linotype" w:hAnsi="Palatino Linotype" w:cs="Palatino Linotype"/>
          <w:b/>
          <w:bCs/>
          <w:color w:val="000000"/>
          <w:lang w:val="it-IT"/>
        </w:rPr>
      </w:pPr>
      <w:r w:rsidRPr="00C230A9">
        <w:rPr>
          <w:rFonts w:ascii="Palatino Linotype" w:eastAsia="Palatino Linotype" w:hAnsi="Palatino Linotype" w:cs="Palatino Linotype"/>
          <w:b/>
          <w:bCs/>
          <w:color w:val="000000"/>
          <w:lang w:val="it-IT"/>
        </w:rPr>
        <w:t>Unitatea X – apartament cu 2 camere, recompartimentat ulterior în:</w:t>
      </w:r>
    </w:p>
    <w:p w14:paraId="35B4E89F" w14:textId="77777777" w:rsidR="00E9494E" w:rsidRPr="00BC4620" w:rsidRDefault="00E9494E" w:rsidP="00E9494E">
      <w:pPr>
        <w:numPr>
          <w:ilvl w:val="1"/>
          <w:numId w:val="5"/>
        </w:numPr>
        <w:pBdr>
          <w:top w:val="nil"/>
          <w:left w:val="nil"/>
          <w:bottom w:val="nil"/>
          <w:right w:val="nil"/>
          <w:between w:val="nil"/>
        </w:pBdr>
        <w:tabs>
          <w:tab w:val="left" w:pos="1080"/>
        </w:tabs>
        <w:spacing w:line="240" w:lineRule="atLeast"/>
        <w:ind w:left="540" w:hanging="720"/>
        <w:jc w:val="both"/>
        <w:rPr>
          <w:rFonts w:ascii="Palatino Linotype" w:eastAsia="Palatino Linotype" w:hAnsi="Palatino Linotype" w:cs="Palatino Linotype"/>
          <w:color w:val="000000"/>
        </w:rPr>
      </w:pPr>
      <w:r w:rsidRPr="00BC4620">
        <w:rPr>
          <w:rFonts w:ascii="Palatino Linotype" w:eastAsia="Palatino Linotype" w:hAnsi="Palatino Linotype" w:cs="Palatino Linotype"/>
          <w:color w:val="000000"/>
        </w:rPr>
        <w:lastRenderedPageBreak/>
        <w:t xml:space="preserve">X1 – </w:t>
      </w:r>
      <w:proofErr w:type="spellStart"/>
      <w:r w:rsidRPr="00BC4620">
        <w:rPr>
          <w:rFonts w:ascii="Palatino Linotype" w:eastAsia="Palatino Linotype" w:hAnsi="Palatino Linotype" w:cs="Palatino Linotype"/>
          <w:color w:val="000000"/>
        </w:rPr>
        <w:t>apartament</w:t>
      </w:r>
      <w:proofErr w:type="spellEnd"/>
      <w:r w:rsidRPr="00BC4620">
        <w:rPr>
          <w:rFonts w:ascii="Palatino Linotype" w:eastAsia="Palatino Linotype" w:hAnsi="Palatino Linotype" w:cs="Palatino Linotype"/>
          <w:color w:val="000000"/>
        </w:rPr>
        <w:t xml:space="preserve"> cu o cameră</w:t>
      </w:r>
    </w:p>
    <w:p w14:paraId="784CE2DE" w14:textId="77777777" w:rsidR="00E9494E" w:rsidRPr="00BC4620" w:rsidRDefault="00E9494E" w:rsidP="00E9494E">
      <w:pPr>
        <w:numPr>
          <w:ilvl w:val="1"/>
          <w:numId w:val="5"/>
        </w:numPr>
        <w:pBdr>
          <w:top w:val="nil"/>
          <w:left w:val="nil"/>
          <w:bottom w:val="nil"/>
          <w:right w:val="nil"/>
          <w:between w:val="nil"/>
        </w:pBdr>
        <w:tabs>
          <w:tab w:val="left" w:pos="1080"/>
        </w:tabs>
        <w:spacing w:line="240" w:lineRule="atLeast"/>
        <w:ind w:left="540" w:hanging="720"/>
        <w:jc w:val="both"/>
        <w:rPr>
          <w:rFonts w:ascii="Palatino Linotype" w:eastAsia="Palatino Linotype" w:hAnsi="Palatino Linotype" w:cs="Palatino Linotype"/>
          <w:color w:val="000000"/>
        </w:rPr>
      </w:pPr>
      <w:r w:rsidRPr="00BC4620">
        <w:rPr>
          <w:rFonts w:ascii="Palatino Linotype" w:eastAsia="Palatino Linotype" w:hAnsi="Palatino Linotype" w:cs="Palatino Linotype"/>
          <w:color w:val="000000"/>
        </w:rPr>
        <w:t>X2 – apartament cu o cameră</w:t>
      </w:r>
    </w:p>
    <w:p w14:paraId="38A846F3" w14:textId="77777777" w:rsidR="00E9494E" w:rsidRPr="00C230A9" w:rsidRDefault="00E9494E" w:rsidP="00E9494E">
      <w:pPr>
        <w:numPr>
          <w:ilvl w:val="1"/>
          <w:numId w:val="5"/>
        </w:numPr>
        <w:pBdr>
          <w:top w:val="nil"/>
          <w:left w:val="nil"/>
          <w:bottom w:val="nil"/>
          <w:right w:val="nil"/>
          <w:between w:val="nil"/>
        </w:pBdr>
        <w:tabs>
          <w:tab w:val="left" w:pos="1080"/>
        </w:tabs>
        <w:spacing w:line="240" w:lineRule="atLeast"/>
        <w:ind w:left="540" w:hanging="72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Unitate X promisă lui A, ulterior promisă și lui B.</w:t>
      </w:r>
    </w:p>
    <w:p w14:paraId="2AB6AC20" w14:textId="77777777" w:rsidR="00E9494E" w:rsidRPr="00C230A9" w:rsidRDefault="00E9494E" w:rsidP="00E9494E">
      <w:pPr>
        <w:numPr>
          <w:ilvl w:val="1"/>
          <w:numId w:val="5"/>
        </w:numPr>
        <w:pBdr>
          <w:top w:val="nil"/>
          <w:left w:val="nil"/>
          <w:bottom w:val="nil"/>
          <w:right w:val="nil"/>
          <w:between w:val="nil"/>
        </w:pBdr>
        <w:tabs>
          <w:tab w:val="left" w:pos="1080"/>
        </w:tabs>
        <w:spacing w:line="240" w:lineRule="atLeast"/>
        <w:ind w:left="540" w:hanging="72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Unitatea X1, nou rezultată – rămâne în patrimoniul companiei.</w:t>
      </w:r>
    </w:p>
    <w:p w14:paraId="3CF604EB" w14:textId="77777777" w:rsidR="00E9494E" w:rsidRPr="00C230A9" w:rsidRDefault="00E9494E" w:rsidP="00E9494E">
      <w:pPr>
        <w:numPr>
          <w:ilvl w:val="1"/>
          <w:numId w:val="5"/>
        </w:numPr>
        <w:pBdr>
          <w:top w:val="nil"/>
          <w:left w:val="nil"/>
          <w:bottom w:val="nil"/>
          <w:right w:val="nil"/>
          <w:between w:val="nil"/>
        </w:pBdr>
        <w:tabs>
          <w:tab w:val="left" w:pos="1080"/>
        </w:tabs>
        <w:spacing w:after="160" w:line="240" w:lineRule="atLeast"/>
        <w:ind w:left="540" w:hanging="72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Unitatea X2, nou rezultată – este vândută către C.</w:t>
      </w:r>
    </w:p>
    <w:p w14:paraId="4527752D" w14:textId="77777777" w:rsidR="00E9494E" w:rsidRPr="00C230A9" w:rsidRDefault="00E9494E" w:rsidP="00E9494E">
      <w:pPr>
        <w:tabs>
          <w:tab w:val="left" w:pos="1080"/>
        </w:tabs>
        <w:spacing w:line="240" w:lineRule="atLeast"/>
        <w:ind w:left="-18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În concluzie, promitenții A și B rămân fără unitate ca urmare a recompartimentării și a vânzării parțiale ulterioare.</w:t>
      </w:r>
    </w:p>
    <w:p w14:paraId="70E145B5" w14:textId="77777777" w:rsidR="00E9494E" w:rsidRPr="00C230A9" w:rsidRDefault="00E9494E" w:rsidP="00E9494E">
      <w:pPr>
        <w:pBdr>
          <w:top w:val="nil"/>
          <w:left w:val="nil"/>
          <w:bottom w:val="nil"/>
          <w:right w:val="nil"/>
          <w:between w:val="nil"/>
        </w:pBdr>
        <w:tabs>
          <w:tab w:val="left" w:pos="1080"/>
        </w:tabs>
        <w:spacing w:line="240" w:lineRule="atLeast"/>
        <w:ind w:left="45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b/>
          <w:bCs/>
          <w:color w:val="000000"/>
          <w:lang w:val="it-IT"/>
        </w:rPr>
        <w:t xml:space="preserve">  </w:t>
      </w:r>
    </w:p>
    <w:p w14:paraId="0D3C2F9C" w14:textId="381B7EBD" w:rsidR="00E9494E" w:rsidRPr="00C230A9" w:rsidRDefault="00E9494E" w:rsidP="00E9494E">
      <w:pPr>
        <w:pBdr>
          <w:top w:val="nil"/>
          <w:left w:val="nil"/>
          <w:bottom w:val="nil"/>
          <w:right w:val="nil"/>
          <w:between w:val="nil"/>
        </w:pBdr>
        <w:spacing w:line="240" w:lineRule="atLeast"/>
        <w:jc w:val="both"/>
        <w:rPr>
          <w:rFonts w:ascii="Palatino Linotype" w:eastAsia="Palatino Linotype" w:hAnsi="Palatino Linotype" w:cs="Palatino Linotype"/>
          <w:b/>
          <w:bCs/>
          <w:color w:val="000000"/>
          <w:lang w:val="it-IT"/>
        </w:rPr>
      </w:pPr>
      <w:r w:rsidRPr="00C230A9">
        <w:rPr>
          <w:rFonts w:ascii="Palatino Linotype" w:eastAsia="Palatino Linotype" w:hAnsi="Palatino Linotype" w:cs="Palatino Linotype"/>
          <w:b/>
          <w:bCs/>
          <w:color w:val="000000"/>
          <w:lang w:val="it-IT"/>
        </w:rPr>
        <w:t xml:space="preserve">3. Schimbarea destinației unității – de exemplu, transformarea unor unități locative în spații de birouri sau funcțiuni conexe (tehnice, administrative ori de recreere). </w:t>
      </w:r>
    </w:p>
    <w:p w14:paraId="58FB3B14" w14:textId="77777777" w:rsidR="00E9494E" w:rsidRPr="00C230A9" w:rsidRDefault="00E9494E" w:rsidP="00E9494E">
      <w:pPr>
        <w:pBdr>
          <w:top w:val="nil"/>
          <w:left w:val="nil"/>
          <w:bottom w:val="nil"/>
          <w:right w:val="nil"/>
          <w:between w:val="nil"/>
        </w:pBdr>
        <w:spacing w:line="240" w:lineRule="atLeast"/>
        <w:jc w:val="both"/>
        <w:rPr>
          <w:rFonts w:ascii="Palatino Linotype" w:eastAsia="Palatino Linotype" w:hAnsi="Palatino Linotype" w:cs="Palatino Linotype"/>
          <w:b/>
          <w:bCs/>
          <w:color w:val="000000"/>
          <w:lang w:val="it-IT"/>
        </w:rPr>
      </w:pPr>
    </w:p>
    <w:p w14:paraId="39164C14" w14:textId="77777777" w:rsidR="00E9494E" w:rsidRPr="00C230A9" w:rsidRDefault="00E9494E" w:rsidP="00E9494E">
      <w:pPr>
        <w:pBdr>
          <w:top w:val="nil"/>
          <w:left w:val="nil"/>
          <w:bottom w:val="nil"/>
          <w:right w:val="nil"/>
          <w:between w:val="nil"/>
        </w:pBdr>
        <w:spacing w:line="240" w:lineRule="atLeast"/>
        <w:ind w:left="-270"/>
        <w:jc w:val="both"/>
        <w:rPr>
          <w:rFonts w:ascii="Palatino Linotype" w:eastAsia="Palatino Linotype" w:hAnsi="Palatino Linotype" w:cs="Palatino Linotype"/>
          <w:b/>
          <w:bCs/>
          <w:color w:val="000000"/>
          <w:highlight w:val="lightGray"/>
          <w:lang w:val="it-IT"/>
        </w:rPr>
      </w:pPr>
      <w:r w:rsidRPr="00C230A9">
        <w:rPr>
          <w:rFonts w:ascii="Palatino Linotype" w:eastAsia="Palatino Linotype" w:hAnsi="Palatino Linotype" w:cs="Palatino Linotype"/>
          <w:b/>
          <w:bCs/>
          <w:color w:val="000000"/>
          <w:lang w:val="it-IT"/>
        </w:rPr>
        <w:t>Unitatea X, inițial apartament cu o cameră este transformată ulterior în Y cu funcționalitate birou;</w:t>
      </w:r>
    </w:p>
    <w:p w14:paraId="27715EA1" w14:textId="77777777" w:rsidR="00E9494E" w:rsidRPr="00C230A9" w:rsidRDefault="00E9494E" w:rsidP="00E9494E">
      <w:pPr>
        <w:numPr>
          <w:ilvl w:val="1"/>
          <w:numId w:val="5"/>
        </w:numPr>
        <w:pBdr>
          <w:top w:val="nil"/>
          <w:left w:val="nil"/>
          <w:bottom w:val="nil"/>
          <w:right w:val="nil"/>
          <w:between w:val="nil"/>
        </w:pBdr>
        <w:tabs>
          <w:tab w:val="left" w:pos="1080"/>
        </w:tabs>
        <w:spacing w:line="240" w:lineRule="atLeast"/>
        <w:ind w:left="-27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Unitatea X a fost promisă lui A.</w:t>
      </w:r>
    </w:p>
    <w:p w14:paraId="43480547" w14:textId="77777777" w:rsidR="00E9494E" w:rsidRPr="00BC4620" w:rsidRDefault="00E9494E" w:rsidP="00E9494E">
      <w:pPr>
        <w:numPr>
          <w:ilvl w:val="1"/>
          <w:numId w:val="5"/>
        </w:numPr>
        <w:pBdr>
          <w:top w:val="nil"/>
          <w:left w:val="nil"/>
          <w:bottom w:val="nil"/>
          <w:right w:val="nil"/>
          <w:between w:val="nil"/>
        </w:pBdr>
        <w:tabs>
          <w:tab w:val="left" w:pos="1080"/>
        </w:tabs>
        <w:spacing w:after="160" w:line="240" w:lineRule="atLeast"/>
        <w:ind w:left="-270"/>
        <w:jc w:val="both"/>
        <w:rPr>
          <w:rFonts w:ascii="Palatino Linotype" w:eastAsia="Palatino Linotype" w:hAnsi="Palatino Linotype" w:cs="Palatino Linotype"/>
          <w:color w:val="000000"/>
        </w:rPr>
      </w:pPr>
      <w:proofErr w:type="spellStart"/>
      <w:r w:rsidRPr="00BC4620">
        <w:rPr>
          <w:rFonts w:ascii="Palatino Linotype" w:eastAsia="Palatino Linotype" w:hAnsi="Palatino Linotype" w:cs="Palatino Linotype"/>
          <w:color w:val="000000"/>
        </w:rPr>
        <w:t>Unitatea</w:t>
      </w:r>
      <w:proofErr w:type="spellEnd"/>
      <w:r w:rsidRPr="00BC4620">
        <w:rPr>
          <w:rFonts w:ascii="Palatino Linotype" w:eastAsia="Palatino Linotype" w:hAnsi="Palatino Linotype" w:cs="Palatino Linotype"/>
          <w:color w:val="000000"/>
        </w:rPr>
        <w:t xml:space="preserve"> X a </w:t>
      </w:r>
      <w:proofErr w:type="spellStart"/>
      <w:r w:rsidRPr="00BC4620">
        <w:rPr>
          <w:rFonts w:ascii="Palatino Linotype" w:eastAsia="Palatino Linotype" w:hAnsi="Palatino Linotype" w:cs="Palatino Linotype"/>
          <w:color w:val="000000"/>
        </w:rPr>
        <w:t>fost</w:t>
      </w:r>
      <w:proofErr w:type="spellEnd"/>
      <w:r w:rsidRPr="00BC4620">
        <w:rPr>
          <w:rFonts w:ascii="Palatino Linotype" w:eastAsia="Palatino Linotype" w:hAnsi="Palatino Linotype" w:cs="Palatino Linotype"/>
          <w:color w:val="000000"/>
        </w:rPr>
        <w:t xml:space="preserve"> transformată în biroul Y.</w:t>
      </w:r>
    </w:p>
    <w:p w14:paraId="0FE17464" w14:textId="12AA0BB8" w:rsidR="00BC4620" w:rsidRPr="00C230A9" w:rsidRDefault="00E9494E" w:rsidP="00BC4620">
      <w:pPr>
        <w:tabs>
          <w:tab w:val="left" w:pos="1080"/>
        </w:tabs>
        <w:spacing w:line="240" w:lineRule="atLeast"/>
        <w:ind w:left="-630"/>
        <w:jc w:val="both"/>
        <w:rPr>
          <w:rFonts w:ascii="Palatino Linotype" w:eastAsia="Palatino Linotype" w:hAnsi="Palatino Linotype" w:cs="Palatino Linotype"/>
          <w:color w:val="000000"/>
          <w:lang w:val="it-IT"/>
        </w:rPr>
      </w:pPr>
      <w:r w:rsidRPr="00C230A9">
        <w:rPr>
          <w:rFonts w:ascii="Palatino Linotype" w:eastAsia="Palatino Linotype" w:hAnsi="Palatino Linotype" w:cs="Palatino Linotype"/>
          <w:color w:val="000000"/>
          <w:lang w:val="it-IT"/>
        </w:rPr>
        <w:t>În concluzie, apartamentul X, promis lui A, nu mai există ca și configurație și funcționalitate.</w:t>
      </w:r>
    </w:p>
    <w:p w14:paraId="764E1298" w14:textId="77777777" w:rsidR="00BE1CCB" w:rsidRPr="00C230A9" w:rsidRDefault="00BE1CCB" w:rsidP="00E9494E">
      <w:pPr>
        <w:pStyle w:val="Heading3"/>
        <w:spacing w:before="120" w:after="120"/>
        <w:rPr>
          <w:rFonts w:ascii="Palatino Linotype" w:hAnsi="Palatino Linotype"/>
          <w:b/>
          <w:bCs/>
          <w:color w:val="000000" w:themeColor="text1"/>
          <w:sz w:val="24"/>
          <w:szCs w:val="24"/>
          <w:lang w:val="it-IT"/>
        </w:rPr>
      </w:pPr>
    </w:p>
    <w:p w14:paraId="3925C609" w14:textId="77777777" w:rsidR="00BE1CCB" w:rsidRPr="00C230A9" w:rsidRDefault="00BE1CCB" w:rsidP="00BE1CCB">
      <w:pPr>
        <w:rPr>
          <w:lang w:val="it-IT"/>
        </w:rPr>
      </w:pPr>
    </w:p>
    <w:p w14:paraId="1E5DCB53" w14:textId="46BA5B51" w:rsidR="006E5F02" w:rsidRPr="00C230A9" w:rsidRDefault="006E5F02" w:rsidP="00E9494E">
      <w:pPr>
        <w:pStyle w:val="Heading3"/>
        <w:spacing w:before="120" w:after="120"/>
        <w:rPr>
          <w:rFonts w:ascii="Palatino Linotype" w:hAnsi="Palatino Linotype"/>
          <w:b/>
          <w:bCs/>
          <w:color w:val="000000" w:themeColor="text1"/>
          <w:lang w:val="it-IT"/>
        </w:rPr>
      </w:pPr>
      <w:r w:rsidRPr="00C230A9">
        <w:rPr>
          <w:rFonts w:ascii="Palatino Linotype" w:hAnsi="Palatino Linotype"/>
          <w:b/>
          <w:bCs/>
          <w:color w:val="000000" w:themeColor="text1"/>
          <w:lang w:val="it-IT"/>
        </w:rPr>
        <w:t>Pași următori</w:t>
      </w:r>
    </w:p>
    <w:p w14:paraId="0F4E03AD" w14:textId="77777777" w:rsidR="006E5F02" w:rsidRPr="00C230A9" w:rsidRDefault="006E5F02" w:rsidP="00FF61A6">
      <w:pPr>
        <w:spacing w:before="120" w:after="120"/>
        <w:jc w:val="both"/>
        <w:rPr>
          <w:rFonts w:ascii="Palatino Linotype" w:hAnsi="Palatino Linotype"/>
          <w:lang w:val="it-IT"/>
        </w:rPr>
      </w:pPr>
      <w:r w:rsidRPr="00C230A9">
        <w:rPr>
          <w:rFonts w:ascii="Palatino Linotype" w:hAnsi="Palatino Linotype"/>
          <w:lang w:val="it-IT"/>
        </w:rPr>
        <w:t>CITR va continua demersurile menite să asigure protejarea drepturilor tuturor creditorilor și să respecte cadrul legal al procedurii de insolvență:</w:t>
      </w:r>
    </w:p>
    <w:p w14:paraId="3EEFB321" w14:textId="6479839B" w:rsidR="006E5F02" w:rsidRPr="00C230A9" w:rsidRDefault="006E5F02" w:rsidP="00FF61A6">
      <w:pPr>
        <w:numPr>
          <w:ilvl w:val="0"/>
          <w:numId w:val="3"/>
        </w:numPr>
        <w:spacing w:before="120" w:after="120"/>
        <w:jc w:val="both"/>
        <w:rPr>
          <w:rFonts w:ascii="Palatino Linotype" w:hAnsi="Palatino Linotype"/>
          <w:lang w:val="it-IT"/>
        </w:rPr>
      </w:pPr>
      <w:r w:rsidRPr="00C230A9">
        <w:rPr>
          <w:rFonts w:ascii="Palatino Linotype" w:hAnsi="Palatino Linotype"/>
          <w:b/>
          <w:bCs/>
          <w:lang w:val="it-IT"/>
        </w:rPr>
        <w:t>Analiza individuală a cererilor de transfer:</w:t>
      </w:r>
      <w:r w:rsidRPr="00C230A9">
        <w:rPr>
          <w:rFonts w:ascii="Palatino Linotype" w:hAnsi="Palatino Linotype"/>
          <w:lang w:val="it-IT"/>
        </w:rPr>
        <w:t xml:space="preserve"> Pentru cele </w:t>
      </w:r>
      <w:r w:rsidRPr="00C230A9">
        <w:rPr>
          <w:rFonts w:ascii="Palatino Linotype" w:hAnsi="Palatino Linotype"/>
          <w:b/>
          <w:bCs/>
          <w:lang w:val="it-IT"/>
        </w:rPr>
        <w:t>441 de convenții</w:t>
      </w:r>
      <w:r w:rsidRPr="00C230A9">
        <w:rPr>
          <w:rFonts w:ascii="Palatino Linotype" w:hAnsi="Palatino Linotype"/>
          <w:lang w:val="it-IT"/>
        </w:rPr>
        <w:t xml:space="preserve"> fără neconcordanțe documentare, administratorul judiciar va analiza cererile creditorilor în vederea perfectării contractelor de vânzare-cumpărare. Fiecare solicitare va fi tratată conform art. 131 din Legea insolvenței și în funcție de particularitățile fiecărui caz.</w:t>
      </w:r>
    </w:p>
    <w:p w14:paraId="0CB7C412" w14:textId="77777777" w:rsidR="006E5F02" w:rsidRPr="00C230A9" w:rsidRDefault="006E5F02" w:rsidP="00FF61A6">
      <w:pPr>
        <w:numPr>
          <w:ilvl w:val="0"/>
          <w:numId w:val="3"/>
        </w:numPr>
        <w:spacing w:before="120" w:after="120"/>
        <w:jc w:val="both"/>
        <w:rPr>
          <w:rFonts w:ascii="Palatino Linotype" w:hAnsi="Palatino Linotype"/>
          <w:lang w:val="it-IT"/>
        </w:rPr>
      </w:pPr>
      <w:r w:rsidRPr="00C230A9">
        <w:rPr>
          <w:rFonts w:ascii="Palatino Linotype" w:hAnsi="Palatino Linotype"/>
          <w:b/>
          <w:bCs/>
          <w:lang w:val="it-IT"/>
        </w:rPr>
        <w:t>Soluții alternative pentru promisiuni fără obiect:</w:t>
      </w:r>
      <w:r w:rsidRPr="00C230A9">
        <w:rPr>
          <w:rFonts w:ascii="Palatino Linotype" w:hAnsi="Palatino Linotype"/>
          <w:lang w:val="it-IT"/>
        </w:rPr>
        <w:t xml:space="preserve"> În situațiile în care promisiunile au rămas fără obiect, CITR va verifica legalitatea și oportunitatea propunerii debitorului de a atribui o unitate echivalentă, ca soluție de executare în natură, cu condiția obținerii acordului promitentului.</w:t>
      </w:r>
    </w:p>
    <w:p w14:paraId="00E99A2B" w14:textId="77777777" w:rsidR="006E5F02" w:rsidRPr="00C230A9" w:rsidRDefault="006E5F02" w:rsidP="00E9494E">
      <w:pPr>
        <w:pStyle w:val="Heading3"/>
        <w:spacing w:before="120" w:after="120"/>
        <w:rPr>
          <w:rFonts w:ascii="Palatino Linotype" w:hAnsi="Palatino Linotype"/>
          <w:b/>
          <w:bCs/>
          <w:color w:val="000000" w:themeColor="text1"/>
          <w:sz w:val="24"/>
          <w:szCs w:val="24"/>
          <w:lang w:val="it-IT"/>
        </w:rPr>
      </w:pPr>
      <w:r w:rsidRPr="00C230A9">
        <w:rPr>
          <w:rFonts w:ascii="Palatino Linotype" w:hAnsi="Palatino Linotype"/>
          <w:b/>
          <w:bCs/>
          <w:color w:val="000000" w:themeColor="text1"/>
          <w:sz w:val="24"/>
          <w:szCs w:val="24"/>
          <w:lang w:val="it-IT"/>
        </w:rPr>
        <w:t>Contextul procedurii de insolvență</w:t>
      </w:r>
    </w:p>
    <w:p w14:paraId="1CCC1CDE" w14:textId="063798E7" w:rsidR="006E5F02" w:rsidRPr="00C230A9" w:rsidRDefault="006E5F02" w:rsidP="00FF61A6">
      <w:pPr>
        <w:spacing w:before="120" w:after="120"/>
        <w:jc w:val="both"/>
        <w:rPr>
          <w:rFonts w:ascii="Palatino Linotype" w:hAnsi="Palatino Linotype"/>
          <w:lang w:val="it-IT"/>
        </w:rPr>
      </w:pPr>
      <w:r w:rsidRPr="00C230A9">
        <w:rPr>
          <w:rFonts w:ascii="Palatino Linotype" w:hAnsi="Palatino Linotype"/>
          <w:lang w:val="it-IT"/>
        </w:rPr>
        <w:t xml:space="preserve">Procedura de insolvență a societății </w:t>
      </w:r>
      <w:r w:rsidRPr="00C230A9">
        <w:rPr>
          <w:rFonts w:ascii="Palatino Linotype" w:hAnsi="Palatino Linotype"/>
          <w:b/>
          <w:bCs/>
          <w:lang w:val="it-IT"/>
        </w:rPr>
        <w:t>Nordis Management SRL</w:t>
      </w:r>
      <w:r w:rsidRPr="00C230A9">
        <w:rPr>
          <w:rFonts w:ascii="Palatino Linotype" w:hAnsi="Palatino Linotype"/>
          <w:lang w:val="it-IT"/>
        </w:rPr>
        <w:t xml:space="preserve"> a fost deschisă la </w:t>
      </w:r>
      <w:r w:rsidRPr="00C230A9">
        <w:rPr>
          <w:rFonts w:ascii="Palatino Linotype" w:hAnsi="Palatino Linotype"/>
          <w:b/>
          <w:bCs/>
          <w:lang w:val="it-IT"/>
        </w:rPr>
        <w:t>7 octombrie 2024</w:t>
      </w:r>
      <w:r w:rsidRPr="00C230A9">
        <w:rPr>
          <w:rFonts w:ascii="Palatino Linotype" w:hAnsi="Palatino Linotype"/>
          <w:lang w:val="it-IT"/>
        </w:rPr>
        <w:t>, aflându</w:t>
      </w:r>
      <w:r w:rsidRPr="00C230A9">
        <w:rPr>
          <w:rFonts w:ascii="Palatino Linotype" w:hAnsi="Palatino Linotype"/>
          <w:lang w:val="it-IT"/>
        </w:rPr>
        <w:noBreakHyphen/>
        <w:t xml:space="preserve">se în prezent în perioada de observație. Cazul se distinge printr-un grad ridicat de complexitate, determinat de numărul mare de creditori, valoarea ridicată a masei credale și dificultatea spețelor juridice asociate proiectului. Din perspectiva cifrelor, insolvența implică </w:t>
      </w:r>
      <w:r w:rsidRPr="00C230A9">
        <w:rPr>
          <w:rFonts w:ascii="Palatino Linotype" w:hAnsi="Palatino Linotype"/>
          <w:b/>
          <w:bCs/>
          <w:lang w:val="it-IT"/>
        </w:rPr>
        <w:t>1228 de creditori</w:t>
      </w:r>
      <w:r w:rsidRPr="00C230A9">
        <w:rPr>
          <w:rFonts w:ascii="Palatino Linotype" w:hAnsi="Palatino Linotype"/>
          <w:lang w:val="it-IT"/>
        </w:rPr>
        <w:t xml:space="preserve"> cu o masă credală </w:t>
      </w:r>
      <w:r w:rsidRPr="00C230A9">
        <w:rPr>
          <w:rFonts w:ascii="Palatino Linotype" w:hAnsi="Palatino Linotype"/>
          <w:lang w:val="it-IT"/>
        </w:rPr>
        <w:lastRenderedPageBreak/>
        <w:t xml:space="preserve">solicitată de peste </w:t>
      </w:r>
      <w:r w:rsidRPr="00C230A9">
        <w:rPr>
          <w:rFonts w:ascii="Palatino Linotype" w:hAnsi="Palatino Linotype"/>
          <w:b/>
          <w:bCs/>
          <w:lang w:val="it-IT"/>
        </w:rPr>
        <w:t>900 milioane lei</w:t>
      </w:r>
      <w:r w:rsidRPr="00C230A9">
        <w:rPr>
          <w:rFonts w:ascii="Palatino Linotype" w:hAnsi="Palatino Linotype"/>
          <w:lang w:val="it-IT"/>
        </w:rPr>
        <w:t xml:space="preserve">, din care </w:t>
      </w:r>
      <w:r w:rsidRPr="00C230A9">
        <w:rPr>
          <w:rFonts w:ascii="Palatino Linotype" w:hAnsi="Palatino Linotype"/>
          <w:b/>
          <w:bCs/>
          <w:lang w:val="it-IT"/>
        </w:rPr>
        <w:t>721 milioane lei</w:t>
      </w:r>
      <w:r w:rsidRPr="00C230A9">
        <w:rPr>
          <w:rFonts w:ascii="Palatino Linotype" w:hAnsi="Palatino Linotype"/>
          <w:lang w:val="it-IT"/>
        </w:rPr>
        <w:t xml:space="preserve"> reprezintă creanțe acceptate. Totodată, CITR gestionează </w:t>
      </w:r>
      <w:r w:rsidRPr="00C230A9">
        <w:rPr>
          <w:rFonts w:ascii="Palatino Linotype" w:hAnsi="Palatino Linotype"/>
          <w:b/>
          <w:bCs/>
          <w:lang w:val="it-IT"/>
        </w:rPr>
        <w:t>peste 600 de litigii</w:t>
      </w:r>
      <w:r w:rsidRPr="00C230A9">
        <w:rPr>
          <w:rFonts w:ascii="Palatino Linotype" w:hAnsi="Palatino Linotype"/>
          <w:lang w:val="it-IT"/>
        </w:rPr>
        <w:t xml:space="preserve"> aferente acestui dosar de insolvență.</w:t>
      </w:r>
    </w:p>
    <w:p w14:paraId="02F50997" w14:textId="641848B4" w:rsidR="006E5F02" w:rsidRPr="00C230A9" w:rsidRDefault="006E5F02" w:rsidP="00FF61A6">
      <w:pPr>
        <w:jc w:val="both"/>
        <w:rPr>
          <w:rFonts w:ascii="Palatino Linotype" w:hAnsi="Palatino Linotype"/>
          <w:b/>
          <w:bCs/>
          <w:lang w:val="it-IT"/>
        </w:rPr>
      </w:pPr>
      <w:r w:rsidRPr="00C230A9">
        <w:rPr>
          <w:rFonts w:ascii="Palatino Linotype" w:hAnsi="Palatino Linotype"/>
          <w:lang w:val="it-IT"/>
        </w:rPr>
        <w:t xml:space="preserve">CITR subliniază că această analiză și demersurile viitoare au ca scop oferirea de </w:t>
      </w:r>
      <w:r w:rsidRPr="00C230A9">
        <w:rPr>
          <w:rFonts w:ascii="Palatino Linotype" w:hAnsi="Palatino Linotype"/>
          <w:b/>
          <w:bCs/>
          <w:lang w:val="it-IT"/>
        </w:rPr>
        <w:t>transparență</w:t>
      </w:r>
      <w:r w:rsidRPr="00C230A9">
        <w:rPr>
          <w:rFonts w:ascii="Palatino Linotype" w:hAnsi="Palatino Linotype"/>
          <w:lang w:val="it-IT"/>
        </w:rPr>
        <w:t xml:space="preserve"> tuturor părților implicate în proiectul </w:t>
      </w:r>
      <w:r w:rsidRPr="00C230A9">
        <w:rPr>
          <w:rFonts w:ascii="Palatino Linotype" w:hAnsi="Palatino Linotype"/>
          <w:b/>
          <w:bCs/>
          <w:lang w:val="it-IT"/>
        </w:rPr>
        <w:t>Nordis Mamaia Wave</w:t>
      </w:r>
      <w:r w:rsidRPr="00C230A9">
        <w:rPr>
          <w:rFonts w:ascii="Palatino Linotype" w:hAnsi="Palatino Linotype"/>
          <w:lang w:val="it-IT"/>
        </w:rPr>
        <w:t xml:space="preserve"> și protejarea intereselor creditorilor. Echipa administratorului judiciar va continua să comunice deschis stadiul procedurilor și să adopte măsuri pentru a asigura o soluționare corectă și legală a situației juridice a fiecărei unități.</w:t>
      </w:r>
    </w:p>
    <w:p w14:paraId="0D7D92E4" w14:textId="77777777" w:rsidR="006E5F02" w:rsidRPr="00C230A9" w:rsidRDefault="006E5F02" w:rsidP="00FF61A6">
      <w:pPr>
        <w:spacing w:before="120" w:after="120"/>
        <w:jc w:val="both"/>
        <w:rPr>
          <w:rFonts w:ascii="Palatino Linotype" w:hAnsi="Palatino Linotype"/>
          <w:lang w:val="it-IT"/>
        </w:rPr>
      </w:pPr>
      <w:r w:rsidRPr="00C230A9">
        <w:rPr>
          <w:rFonts w:ascii="Palatino Linotype" w:hAnsi="Palatino Linotype"/>
          <w:lang w:val="it-IT"/>
        </w:rPr>
        <w:t>Pentru clarificări suplimentare, creditorii și părțile interesate sunt invitați să contacteze administratorul judiciar CITR.</w:t>
      </w:r>
    </w:p>
    <w:p w14:paraId="25665879" w14:textId="77777777" w:rsidR="002D7601" w:rsidRPr="00C230A9" w:rsidRDefault="002D7601" w:rsidP="00E9494E">
      <w:pPr>
        <w:spacing w:before="120" w:after="120"/>
        <w:rPr>
          <w:rFonts w:ascii="Palatino Linotype" w:hAnsi="Palatino Linotype"/>
          <w:lang w:val="it-IT"/>
        </w:rPr>
      </w:pPr>
    </w:p>
    <w:sectPr w:rsidR="002D7601" w:rsidRPr="00C230A9" w:rsidSect="00E9494E">
      <w:headerReference w:type="default" r:id="rId7"/>
      <w:pgSz w:w="11906" w:h="16838"/>
      <w:pgMar w:top="22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1ECC" w14:textId="77777777" w:rsidR="00E95FD2" w:rsidRDefault="00E95FD2" w:rsidP="00E9494E">
      <w:r>
        <w:separator/>
      </w:r>
    </w:p>
  </w:endnote>
  <w:endnote w:type="continuationSeparator" w:id="0">
    <w:p w14:paraId="320712B5" w14:textId="77777777" w:rsidR="00E95FD2" w:rsidRDefault="00E95FD2" w:rsidP="00E9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8DE5" w14:textId="77777777" w:rsidR="00E95FD2" w:rsidRDefault="00E95FD2" w:rsidP="00E9494E">
      <w:r>
        <w:separator/>
      </w:r>
    </w:p>
  </w:footnote>
  <w:footnote w:type="continuationSeparator" w:id="0">
    <w:p w14:paraId="34A13A93" w14:textId="77777777" w:rsidR="00E95FD2" w:rsidRDefault="00E95FD2" w:rsidP="00E94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9C0" w14:textId="214F553E" w:rsidR="00E9494E" w:rsidRDefault="00E9494E">
    <w:pPr>
      <w:pStyle w:val="Header"/>
    </w:pPr>
    <w:r>
      <w:rPr>
        <w:noProof/>
      </w:rPr>
      <w:drawing>
        <wp:anchor distT="0" distB="0" distL="114300" distR="114300" simplePos="0" relativeHeight="251659264" behindDoc="0" locked="0" layoutInCell="1" allowOverlap="1" wp14:anchorId="7B85F433" wp14:editId="5CF65012">
          <wp:simplePos x="0" y="0"/>
          <wp:positionH relativeFrom="column">
            <wp:posOffset>0</wp:posOffset>
          </wp:positionH>
          <wp:positionV relativeFrom="paragraph">
            <wp:posOffset>184150</wp:posOffset>
          </wp:positionV>
          <wp:extent cx="1267460" cy="655320"/>
          <wp:effectExtent l="0" t="0" r="8890" b="0"/>
          <wp:wrapThrough wrapText="bothSides">
            <wp:wrapPolygon edited="0">
              <wp:start x="0" y="0"/>
              <wp:lineTo x="0" y="20721"/>
              <wp:lineTo x="21427" y="20721"/>
              <wp:lineTo x="21427" y="0"/>
              <wp:lineTo x="0" y="0"/>
            </wp:wrapPolygon>
          </wp:wrapThrough>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7460" cy="655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F66B5"/>
    <w:multiLevelType w:val="multilevel"/>
    <w:tmpl w:val="01FEA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82B93"/>
    <w:multiLevelType w:val="multilevel"/>
    <w:tmpl w:val="D514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D4AD1"/>
    <w:multiLevelType w:val="multilevel"/>
    <w:tmpl w:val="EF0E8C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upp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32A3832"/>
    <w:multiLevelType w:val="multilevel"/>
    <w:tmpl w:val="4D9A5F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5"/>
      <w:numFmt w:val="bullet"/>
      <w:lvlText w:val="-"/>
      <w:lvlJc w:val="left"/>
      <w:pPr>
        <w:ind w:left="3600" w:hanging="360"/>
      </w:pPr>
      <w:rPr>
        <w:rFonts w:ascii="Palatino Linotype" w:eastAsia="Palatino Linotype" w:hAnsi="Palatino Linotype" w:cs="Palatino Linotype"/>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9165C25"/>
    <w:multiLevelType w:val="multilevel"/>
    <w:tmpl w:val="830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23065"/>
    <w:multiLevelType w:val="multilevel"/>
    <w:tmpl w:val="AA808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1145617">
    <w:abstractNumId w:val="1"/>
  </w:num>
  <w:num w:numId="2" w16cid:durableId="2054192902">
    <w:abstractNumId w:val="0"/>
  </w:num>
  <w:num w:numId="3" w16cid:durableId="915867980">
    <w:abstractNumId w:val="4"/>
  </w:num>
  <w:num w:numId="4" w16cid:durableId="1684240105">
    <w:abstractNumId w:val="5"/>
  </w:num>
  <w:num w:numId="5" w16cid:durableId="1189104334">
    <w:abstractNumId w:val="3"/>
  </w:num>
  <w:num w:numId="6" w16cid:durableId="47934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02"/>
    <w:rsid w:val="002D1BDE"/>
    <w:rsid w:val="002D7601"/>
    <w:rsid w:val="002E406A"/>
    <w:rsid w:val="00305851"/>
    <w:rsid w:val="004A6E84"/>
    <w:rsid w:val="006E5F02"/>
    <w:rsid w:val="00712FF6"/>
    <w:rsid w:val="0088142A"/>
    <w:rsid w:val="008A7ED7"/>
    <w:rsid w:val="009876AC"/>
    <w:rsid w:val="00BC4620"/>
    <w:rsid w:val="00BE1CCB"/>
    <w:rsid w:val="00C230A9"/>
    <w:rsid w:val="00DF70AD"/>
    <w:rsid w:val="00E9494E"/>
    <w:rsid w:val="00E95FD2"/>
    <w:rsid w:val="00EA6A50"/>
    <w:rsid w:val="00FF6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4A4B"/>
  <w15:chartTrackingRefBased/>
  <w15:docId w15:val="{2DAABE7D-1461-4644-AB83-111068A7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F02"/>
    <w:rPr>
      <w:rFonts w:eastAsiaTheme="majorEastAsia" w:cstheme="majorBidi"/>
      <w:color w:val="272727" w:themeColor="text1" w:themeTint="D8"/>
    </w:rPr>
  </w:style>
  <w:style w:type="paragraph" w:styleId="Title">
    <w:name w:val="Title"/>
    <w:basedOn w:val="Normal"/>
    <w:next w:val="Normal"/>
    <w:link w:val="TitleChar"/>
    <w:uiPriority w:val="10"/>
    <w:qFormat/>
    <w:rsid w:val="006E5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F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F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F02"/>
    <w:rPr>
      <w:i/>
      <w:iCs/>
      <w:color w:val="404040" w:themeColor="text1" w:themeTint="BF"/>
    </w:rPr>
  </w:style>
  <w:style w:type="paragraph" w:styleId="ListParagraph">
    <w:name w:val="List Paragraph"/>
    <w:basedOn w:val="Normal"/>
    <w:uiPriority w:val="34"/>
    <w:qFormat/>
    <w:rsid w:val="006E5F02"/>
    <w:pPr>
      <w:ind w:left="720"/>
      <w:contextualSpacing/>
    </w:pPr>
  </w:style>
  <w:style w:type="character" w:styleId="IntenseEmphasis">
    <w:name w:val="Intense Emphasis"/>
    <w:basedOn w:val="DefaultParagraphFont"/>
    <w:uiPriority w:val="21"/>
    <w:qFormat/>
    <w:rsid w:val="006E5F02"/>
    <w:rPr>
      <w:i/>
      <w:iCs/>
      <w:color w:val="0F4761" w:themeColor="accent1" w:themeShade="BF"/>
    </w:rPr>
  </w:style>
  <w:style w:type="paragraph" w:styleId="IntenseQuote">
    <w:name w:val="Intense Quote"/>
    <w:basedOn w:val="Normal"/>
    <w:next w:val="Normal"/>
    <w:link w:val="IntenseQuoteChar"/>
    <w:uiPriority w:val="30"/>
    <w:qFormat/>
    <w:rsid w:val="006E5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F02"/>
    <w:rPr>
      <w:i/>
      <w:iCs/>
      <w:color w:val="0F4761" w:themeColor="accent1" w:themeShade="BF"/>
    </w:rPr>
  </w:style>
  <w:style w:type="character" w:styleId="IntenseReference">
    <w:name w:val="Intense Reference"/>
    <w:basedOn w:val="DefaultParagraphFont"/>
    <w:uiPriority w:val="32"/>
    <w:qFormat/>
    <w:rsid w:val="006E5F02"/>
    <w:rPr>
      <w:b/>
      <w:bCs/>
      <w:smallCaps/>
      <w:color w:val="0F4761" w:themeColor="accent1" w:themeShade="BF"/>
      <w:spacing w:val="5"/>
    </w:rPr>
  </w:style>
  <w:style w:type="table" w:styleId="PlainTable5">
    <w:name w:val="Plain Table 5"/>
    <w:basedOn w:val="TableNormal"/>
    <w:uiPriority w:val="45"/>
    <w:rsid w:val="006E5F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E5F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494E"/>
    <w:pPr>
      <w:tabs>
        <w:tab w:val="center" w:pos="4513"/>
        <w:tab w:val="right" w:pos="9026"/>
      </w:tabs>
    </w:pPr>
  </w:style>
  <w:style w:type="character" w:customStyle="1" w:styleId="HeaderChar">
    <w:name w:val="Header Char"/>
    <w:basedOn w:val="DefaultParagraphFont"/>
    <w:link w:val="Header"/>
    <w:uiPriority w:val="99"/>
    <w:rsid w:val="00E9494E"/>
  </w:style>
  <w:style w:type="paragraph" w:styleId="Footer">
    <w:name w:val="footer"/>
    <w:basedOn w:val="Normal"/>
    <w:link w:val="FooterChar"/>
    <w:uiPriority w:val="99"/>
    <w:unhideWhenUsed/>
    <w:rsid w:val="00E9494E"/>
    <w:pPr>
      <w:tabs>
        <w:tab w:val="center" w:pos="4513"/>
        <w:tab w:val="right" w:pos="9026"/>
      </w:tabs>
    </w:pPr>
  </w:style>
  <w:style w:type="character" w:customStyle="1" w:styleId="FooterChar">
    <w:name w:val="Footer Char"/>
    <w:basedOn w:val="DefaultParagraphFont"/>
    <w:link w:val="Footer"/>
    <w:uiPriority w:val="99"/>
    <w:rsid w:val="00E9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Chindris</dc:creator>
  <cp:keywords/>
  <dc:description/>
  <cp:lastModifiedBy>Dragos Ghita</cp:lastModifiedBy>
  <cp:revision>3</cp:revision>
  <dcterms:created xsi:type="dcterms:W3CDTF">2025-11-17T10:04:00Z</dcterms:created>
  <dcterms:modified xsi:type="dcterms:W3CDTF">2025-11-17T10:05:00Z</dcterms:modified>
</cp:coreProperties>
</file>