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333.0" w:type="dxa"/>
        <w:jc w:val="left"/>
        <w:tblInd w:w="-792.0" w:type="dxa"/>
        <w:tblLayout w:type="fixed"/>
        <w:tblLook w:val="0000"/>
      </w:tblPr>
      <w:tblGrid>
        <w:gridCol w:w="1881"/>
        <w:gridCol w:w="9452"/>
        <w:tblGridChange w:id="0">
          <w:tblGrid>
            <w:gridCol w:w="1881"/>
            <w:gridCol w:w="9452"/>
          </w:tblGrid>
        </w:tblGridChange>
      </w:tblGrid>
      <w:tr>
        <w:trPr>
          <w:trHeight w:val="1392" w:hRule="atLeast"/>
        </w:trPr>
        <w:tc>
          <w:tcPr>
            <w:vAlign w:val="top"/>
          </w:tcPr>
          <w:p w:rsidR="00000000" w:rsidDel="00000000" w:rsidP="00000000" w:rsidRDefault="00000000" w:rsidRPr="00000000" w14:paraId="00000002">
            <w:pPr>
              <w:jc w:val="both"/>
              <w:rPr>
                <w:b w:val="0"/>
                <w:vertAlign w:val="baseline"/>
              </w:rPr>
            </w:pPr>
            <w:r w:rsidDel="00000000" w:rsidR="00000000" w:rsidRPr="00000000">
              <w:rPr>
                <w:rtl w:val="0"/>
              </w:rPr>
            </w:r>
          </w:p>
        </w:tc>
        <w:tc>
          <w:tcPr>
            <w:vAlign w:val="top"/>
          </w:tcPr>
          <w:p w:rsidR="00000000" w:rsidDel="00000000" w:rsidP="00000000" w:rsidRDefault="00000000" w:rsidRPr="00000000" w14:paraId="00000003">
            <w:pPr>
              <w:rPr>
                <w:b w:val="0"/>
                <w:vertAlign w:val="baseline"/>
              </w:rPr>
            </w:pPr>
            <w:r w:rsidDel="00000000" w:rsidR="00000000" w:rsidRPr="00000000">
              <w:rPr>
                <w:rtl w:val="0"/>
              </w:rPr>
            </w:r>
          </w:p>
          <w:p w:rsidR="00000000" w:rsidDel="00000000" w:rsidP="00000000" w:rsidRDefault="00000000" w:rsidRPr="00000000" w14:paraId="00000004">
            <w:pPr>
              <w:rPr>
                <w:b w:val="0"/>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b w:val="1"/>
                <w:vertAlign w:val="baseline"/>
                <w:rtl w:val="0"/>
              </w:rPr>
              <w:t xml:space="preserve">Către,</w:t>
            </w:r>
            <w:r w:rsidDel="00000000" w:rsidR="00000000" w:rsidRPr="00000000">
              <w:rPr>
                <w:rtl w:val="0"/>
              </w:rPr>
            </w:r>
          </w:p>
          <w:p w:rsidR="00000000" w:rsidDel="00000000" w:rsidP="00000000" w:rsidRDefault="00000000" w:rsidRPr="00000000" w14:paraId="00000006">
            <w:pPr>
              <w:rPr>
                <w:b w:val="0"/>
                <w:vertAlign w:val="baseline"/>
              </w:rPr>
            </w:pPr>
            <w:r w:rsidDel="00000000" w:rsidR="00000000" w:rsidRPr="00000000">
              <w:rPr>
                <w:b w:val="1"/>
                <w:vertAlign w:val="baseline"/>
                <w:rtl w:val="0"/>
              </w:rPr>
              <w:t xml:space="preserve">Comisia juridică, de numiri, disciplină, imunități și validări</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tc>
      </w:tr>
    </w:tbl>
    <w:p w:rsidR="00000000" w:rsidDel="00000000" w:rsidP="00000000" w:rsidRDefault="00000000" w:rsidRPr="00000000" w14:paraId="00000008">
      <w:pPr>
        <w:jc w:val="center"/>
        <w:rPr>
          <w:b w:val="0"/>
          <w:vertAlign w:val="baseline"/>
        </w:rPr>
      </w:pPr>
      <w:r w:rsidDel="00000000" w:rsidR="00000000" w:rsidRPr="00000000">
        <w:rPr>
          <w:b w:val="1"/>
          <w:vertAlign w:val="baseline"/>
          <w:rtl w:val="0"/>
        </w:rPr>
        <w:t xml:space="preserve">AMENDAMENTE la</w:t>
      </w:r>
      <w:r w:rsidDel="00000000" w:rsidR="00000000" w:rsidRPr="00000000">
        <w:rPr>
          <w:rtl w:val="0"/>
        </w:rPr>
      </w:r>
    </w:p>
    <w:p w:rsidR="00000000" w:rsidDel="00000000" w:rsidP="00000000" w:rsidRDefault="00000000" w:rsidRPr="00000000" w14:paraId="00000009">
      <w:pPr>
        <w:jc w:val="center"/>
        <w:rPr>
          <w:b w:val="0"/>
          <w:vertAlign w:val="baseline"/>
        </w:rPr>
      </w:pPr>
      <w:r w:rsidDel="00000000" w:rsidR="00000000" w:rsidRPr="00000000">
        <w:rPr>
          <w:b w:val="1"/>
          <w:color w:val="212529"/>
          <w:highlight w:val="white"/>
          <w:vertAlign w:val="baseline"/>
          <w:rtl w:val="0"/>
        </w:rPr>
        <w:t xml:space="preserve">Proiect de Lege privind desfiinţarea Secţiei pentru investigarea infracţiunilor din justiţie, precum şi pentru modificarea şi completarea unor acte normative în domeniul justiţiei</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A">
      <w:pPr>
        <w:jc w:val="center"/>
        <w:rPr>
          <w:b w:val="0"/>
          <w:vertAlign w:val="baseline"/>
        </w:rPr>
      </w:pPr>
      <w:r w:rsidDel="00000000" w:rsidR="00000000" w:rsidRPr="00000000">
        <w:rPr>
          <w:b w:val="1"/>
          <w:vertAlign w:val="baseline"/>
          <w:rtl w:val="0"/>
        </w:rPr>
        <w:t xml:space="preserve">(L76/2021)</w:t>
      </w:r>
      <w:r w:rsidDel="00000000" w:rsidR="00000000" w:rsidRPr="00000000">
        <w:rPr>
          <w:rtl w:val="0"/>
        </w:rPr>
      </w:r>
    </w:p>
    <w:p w:rsidR="00000000" w:rsidDel="00000000" w:rsidP="00000000" w:rsidRDefault="00000000" w:rsidRPr="00000000" w14:paraId="0000000B">
      <w:pPr>
        <w:jc w:val="both"/>
        <w:rPr>
          <w:vertAlign w:val="baseline"/>
        </w:rPr>
      </w:pPr>
      <w:r w:rsidDel="00000000" w:rsidR="00000000" w:rsidRPr="00000000">
        <w:rPr>
          <w:vertAlign w:val="baseline"/>
          <w:rtl w:val="0"/>
        </w:rPr>
        <w:t xml:space="preserve">11.06.2021</w:t>
      </w:r>
    </w:p>
    <w:p w:rsidR="00000000" w:rsidDel="00000000" w:rsidP="00000000" w:rsidRDefault="00000000" w:rsidRPr="00000000" w14:paraId="0000000C">
      <w:pPr>
        <w:jc w:val="both"/>
        <w:rPr>
          <w:vertAlign w:val="baseline"/>
        </w:rPr>
      </w:pPr>
      <w:r w:rsidDel="00000000" w:rsidR="00000000" w:rsidRPr="00000000">
        <w:rPr>
          <w:rtl w:val="0"/>
        </w:rPr>
      </w:r>
    </w:p>
    <w:tbl>
      <w:tblPr>
        <w:tblStyle w:val="Table2"/>
        <w:tblW w:w="136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4410"/>
        <w:gridCol w:w="4770"/>
        <w:gridCol w:w="3600"/>
        <w:tblGridChange w:id="0">
          <w:tblGrid>
            <w:gridCol w:w="918"/>
            <w:gridCol w:w="4410"/>
            <w:gridCol w:w="4770"/>
            <w:gridCol w:w="3600"/>
          </w:tblGrid>
        </w:tblGridChange>
      </w:tblGrid>
      <w:tr>
        <w:tc>
          <w:tcPr>
            <w:vAlign w:val="top"/>
          </w:tcPr>
          <w:p w:rsidR="00000000" w:rsidDel="00000000" w:rsidP="00000000" w:rsidRDefault="00000000" w:rsidRPr="00000000" w14:paraId="0000000D">
            <w:pPr>
              <w:jc w:val="center"/>
              <w:rPr>
                <w:b w:val="0"/>
                <w:sz w:val="28"/>
                <w:szCs w:val="28"/>
                <w:vertAlign w:val="baseline"/>
              </w:rPr>
            </w:pPr>
            <w:r w:rsidDel="00000000" w:rsidR="00000000" w:rsidRPr="00000000">
              <w:rPr>
                <w:b w:val="1"/>
                <w:vertAlign w:val="baseline"/>
                <w:rtl w:val="0"/>
              </w:rPr>
              <w:t xml:space="preserve">Nr. Crt.</w:t>
            </w:r>
            <w:r w:rsidDel="00000000" w:rsidR="00000000" w:rsidRPr="00000000">
              <w:rPr>
                <w:rtl w:val="0"/>
              </w:rPr>
            </w:r>
          </w:p>
        </w:tc>
        <w:tc>
          <w:tcPr>
            <w:vAlign w:val="top"/>
          </w:tcPr>
          <w:p w:rsidR="00000000" w:rsidDel="00000000" w:rsidP="00000000" w:rsidRDefault="00000000" w:rsidRPr="00000000" w14:paraId="0000000E">
            <w:pPr>
              <w:jc w:val="center"/>
              <w:rPr>
                <w:b w:val="0"/>
                <w:vertAlign w:val="baseline"/>
              </w:rPr>
            </w:pPr>
            <w:r w:rsidDel="00000000" w:rsidR="00000000" w:rsidRPr="00000000">
              <w:rPr>
                <w:b w:val="1"/>
                <w:vertAlign w:val="baseline"/>
                <w:rtl w:val="0"/>
              </w:rPr>
              <w:t xml:space="preserve">Forma adoptata la Camera Deputatilor</w:t>
            </w:r>
            <w:r w:rsidDel="00000000" w:rsidR="00000000" w:rsidRPr="00000000">
              <w:rPr>
                <w:rtl w:val="0"/>
              </w:rPr>
            </w:r>
          </w:p>
        </w:tc>
        <w:tc>
          <w:tcPr>
            <w:vAlign w:val="top"/>
          </w:tcPr>
          <w:p w:rsidR="00000000" w:rsidDel="00000000" w:rsidP="00000000" w:rsidRDefault="00000000" w:rsidRPr="00000000" w14:paraId="0000000F">
            <w:pPr>
              <w:jc w:val="center"/>
              <w:rPr>
                <w:b w:val="0"/>
                <w:sz w:val="28"/>
                <w:szCs w:val="28"/>
                <w:vertAlign w:val="baseline"/>
              </w:rPr>
            </w:pPr>
            <w:r w:rsidDel="00000000" w:rsidR="00000000" w:rsidRPr="00000000">
              <w:rPr>
                <w:b w:val="1"/>
                <w:vertAlign w:val="baseline"/>
                <w:rtl w:val="0"/>
              </w:rPr>
              <w:t xml:space="preserve">Amendamente</w:t>
            </w:r>
            <w:r w:rsidDel="00000000" w:rsidR="00000000" w:rsidRPr="00000000">
              <w:rPr>
                <w:rtl w:val="0"/>
              </w:rPr>
            </w:r>
          </w:p>
        </w:tc>
        <w:tc>
          <w:tcPr>
            <w:vAlign w:val="top"/>
          </w:tcPr>
          <w:p w:rsidR="00000000" w:rsidDel="00000000" w:rsidP="00000000" w:rsidRDefault="00000000" w:rsidRPr="00000000" w14:paraId="00000010">
            <w:pPr>
              <w:jc w:val="center"/>
              <w:rPr>
                <w:b w:val="0"/>
                <w:vertAlign w:val="baseline"/>
              </w:rPr>
            </w:pPr>
            <w:r w:rsidDel="00000000" w:rsidR="00000000" w:rsidRPr="00000000">
              <w:rPr>
                <w:b w:val="1"/>
                <w:vertAlign w:val="baseline"/>
                <w:rtl w:val="0"/>
              </w:rPr>
              <w:t xml:space="preserve">Observatii</w:t>
            </w:r>
            <w:r w:rsidDel="00000000" w:rsidR="00000000" w:rsidRPr="00000000">
              <w:rPr>
                <w:rtl w:val="0"/>
              </w:rPr>
            </w:r>
          </w:p>
        </w:tc>
      </w:tr>
      <w:tr>
        <w:tc>
          <w:tcPr>
            <w:vAlign w:val="top"/>
          </w:tcPr>
          <w:p w:rsidR="00000000" w:rsidDel="00000000" w:rsidP="00000000" w:rsidRDefault="00000000" w:rsidRPr="00000000" w14:paraId="00000011">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434"/>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Titlul legii se modifică și va avea următorul cuprins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jc w:val="both"/>
              <w:rPr>
                <w:b w:val="0"/>
                <w:sz w:val="28"/>
                <w:szCs w:val="28"/>
                <w:vertAlign w:val="baseline"/>
              </w:rPr>
            </w:pPr>
            <w:r w:rsidDel="00000000" w:rsidR="00000000" w:rsidRPr="00000000">
              <w:rPr>
                <w:vertAlign w:val="baseline"/>
                <w:rtl w:val="0"/>
              </w:rPr>
              <w:t xml:space="preserve">”Lege privind desființarea Secției pentru Investigarea Infracțiunilor din Justiție, </w:t>
            </w:r>
            <w:r w:rsidDel="00000000" w:rsidR="00000000" w:rsidRPr="00000000">
              <w:rPr>
                <w:b w:val="1"/>
                <w:vertAlign w:val="baseline"/>
                <w:rtl w:val="0"/>
              </w:rPr>
              <w:t xml:space="preserve">precum și pentru modificarea și completarea unor acte normative în domeniul justiției”.</w:t>
            </w:r>
            <w:r w:rsidDel="00000000" w:rsidR="00000000" w:rsidRPr="00000000">
              <w:rPr>
                <w:rtl w:val="0"/>
              </w:rPr>
            </w:r>
          </w:p>
          <w:p w:rsidR="00000000" w:rsidDel="00000000" w:rsidP="00000000" w:rsidRDefault="00000000" w:rsidRPr="00000000" w14:paraId="00000014">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434"/>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Titlul legii se modifică și va avea următorul cuprins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jc w:val="both"/>
              <w:rPr>
                <w:b w:val="0"/>
                <w:sz w:val="28"/>
                <w:szCs w:val="28"/>
                <w:vertAlign w:val="baseline"/>
              </w:rPr>
            </w:pPr>
            <w:r w:rsidDel="00000000" w:rsidR="00000000" w:rsidRPr="00000000">
              <w:rPr>
                <w:vertAlign w:val="baseline"/>
                <w:rtl w:val="0"/>
              </w:rPr>
              <w:t xml:space="preserve">Lege privind desființarea Secției pentru Investigarea Infracțiunilor din Justiție</w:t>
            </w:r>
            <w:r w:rsidDel="00000000" w:rsidR="00000000" w:rsidRPr="00000000">
              <w:rPr>
                <w:rtl w:val="0"/>
              </w:rPr>
            </w:r>
          </w:p>
        </w:tc>
        <w:tc>
          <w:tcPr>
            <w:vAlign w:val="top"/>
          </w:tcPr>
          <w:p w:rsidR="00000000" w:rsidDel="00000000" w:rsidP="00000000" w:rsidRDefault="00000000" w:rsidRPr="00000000" w14:paraId="00000017">
            <w:pPr>
              <w:jc w:val="both"/>
              <w:rPr>
                <w:b w:val="0"/>
                <w:sz w:val="20"/>
                <w:szCs w:val="20"/>
                <w:vertAlign w:val="baseline"/>
              </w:rPr>
            </w:pPr>
            <w:r w:rsidDel="00000000" w:rsidR="00000000" w:rsidRPr="00000000">
              <w:rPr>
                <w:b w:val="1"/>
                <w:sz w:val="20"/>
                <w:szCs w:val="20"/>
                <w:vertAlign w:val="baseline"/>
                <w:rtl w:val="0"/>
              </w:rPr>
              <w:t xml:space="preserve">Autori: senatorii PNL</w:t>
            </w:r>
            <w:r w:rsidDel="00000000" w:rsidR="00000000" w:rsidRPr="00000000">
              <w:rPr>
                <w:rtl w:val="0"/>
              </w:rPr>
            </w:r>
          </w:p>
          <w:p w:rsidR="00000000" w:rsidDel="00000000" w:rsidP="00000000" w:rsidRDefault="00000000" w:rsidRPr="00000000" w14:paraId="00000018">
            <w:pPr>
              <w:numPr>
                <w:ilvl w:val="0"/>
                <w:numId w:val="4"/>
              </w:numPr>
              <w:ind w:left="720" w:hanging="360"/>
              <w:jc w:val="both"/>
              <w:rPr>
                <w:b w:val="0"/>
                <w:sz w:val="20"/>
                <w:szCs w:val="20"/>
              </w:rPr>
            </w:pPr>
            <w:r w:rsidDel="00000000" w:rsidR="00000000" w:rsidRPr="00000000">
              <w:rPr>
                <w:b w:val="1"/>
                <w:sz w:val="20"/>
                <w:szCs w:val="20"/>
                <w:vertAlign w:val="baseline"/>
                <w:rtl w:val="0"/>
              </w:rPr>
              <w:t xml:space="preserve">Laura – Iuliana SCÂNTEI</w:t>
            </w:r>
            <w:r w:rsidDel="00000000" w:rsidR="00000000" w:rsidRPr="00000000">
              <w:rPr>
                <w:rtl w:val="0"/>
              </w:rPr>
            </w:r>
          </w:p>
          <w:p w:rsidR="00000000" w:rsidDel="00000000" w:rsidP="00000000" w:rsidRDefault="00000000" w:rsidRPr="00000000" w14:paraId="00000019">
            <w:pPr>
              <w:numPr>
                <w:ilvl w:val="0"/>
                <w:numId w:val="4"/>
              </w:numPr>
              <w:ind w:left="720" w:hanging="360"/>
              <w:jc w:val="both"/>
              <w:rPr>
                <w:b w:val="0"/>
                <w:sz w:val="20"/>
                <w:szCs w:val="20"/>
              </w:rPr>
            </w:pPr>
            <w:r w:rsidDel="00000000" w:rsidR="00000000" w:rsidRPr="00000000">
              <w:rPr>
                <w:b w:val="1"/>
                <w:sz w:val="20"/>
                <w:szCs w:val="20"/>
                <w:vertAlign w:val="baseline"/>
                <w:rtl w:val="0"/>
              </w:rPr>
              <w:t xml:space="preserve">Daniel FENECHIU</w:t>
            </w:r>
            <w:r w:rsidDel="00000000" w:rsidR="00000000" w:rsidRPr="00000000">
              <w:rPr>
                <w:rtl w:val="0"/>
              </w:rPr>
            </w:r>
          </w:p>
          <w:p w:rsidR="00000000" w:rsidDel="00000000" w:rsidP="00000000" w:rsidRDefault="00000000" w:rsidRPr="00000000" w14:paraId="0000001A">
            <w:pPr>
              <w:numPr>
                <w:ilvl w:val="0"/>
                <w:numId w:val="4"/>
              </w:numPr>
              <w:ind w:left="720" w:hanging="360"/>
              <w:jc w:val="both"/>
              <w:rPr>
                <w:b w:val="0"/>
                <w:sz w:val="20"/>
                <w:szCs w:val="20"/>
              </w:rPr>
            </w:pPr>
            <w:r w:rsidDel="00000000" w:rsidR="00000000" w:rsidRPr="00000000">
              <w:rPr>
                <w:b w:val="1"/>
                <w:sz w:val="20"/>
                <w:szCs w:val="20"/>
                <w:vertAlign w:val="baseline"/>
                <w:rtl w:val="0"/>
              </w:rPr>
              <w:t xml:space="preserve">Claudia - Mihaela BANU</w:t>
            </w:r>
            <w:r w:rsidDel="00000000" w:rsidR="00000000" w:rsidRPr="00000000">
              <w:rPr>
                <w:rtl w:val="0"/>
              </w:rPr>
            </w:r>
          </w:p>
          <w:p w:rsidR="00000000" w:rsidDel="00000000" w:rsidP="00000000" w:rsidRDefault="00000000" w:rsidRPr="00000000" w14:paraId="0000001B">
            <w:pPr>
              <w:numPr>
                <w:ilvl w:val="0"/>
                <w:numId w:val="4"/>
              </w:numPr>
              <w:ind w:left="720" w:hanging="360"/>
              <w:jc w:val="both"/>
              <w:rPr>
                <w:b w:val="0"/>
                <w:sz w:val="20"/>
                <w:szCs w:val="20"/>
              </w:rPr>
            </w:pPr>
            <w:r w:rsidDel="00000000" w:rsidR="00000000" w:rsidRPr="00000000">
              <w:rPr>
                <w:b w:val="1"/>
                <w:sz w:val="20"/>
                <w:szCs w:val="20"/>
                <w:vertAlign w:val="baseline"/>
                <w:rtl w:val="0"/>
              </w:rPr>
              <w:t xml:space="preserve">Cristian-Augustin NICULESCU-ŢÂGÂRLAŞ</w:t>
            </w:r>
            <w:r w:rsidDel="00000000" w:rsidR="00000000" w:rsidRPr="00000000">
              <w:rPr>
                <w:rtl w:val="0"/>
              </w:rPr>
            </w:r>
          </w:p>
          <w:p w:rsidR="00000000" w:rsidDel="00000000" w:rsidP="00000000" w:rsidRDefault="00000000" w:rsidRPr="00000000" w14:paraId="0000001C">
            <w:pPr>
              <w:jc w:val="both"/>
              <w:rPr>
                <w:b w:val="0"/>
                <w:sz w:val="28"/>
                <w:szCs w:val="28"/>
                <w:vertAlign w:val="baseline"/>
              </w:rPr>
            </w:pPr>
            <w:r w:rsidDel="00000000" w:rsidR="00000000" w:rsidRPr="00000000">
              <w:rPr>
                <w:rtl w:val="0"/>
              </w:rPr>
            </w:r>
          </w:p>
        </w:tc>
      </w:tr>
      <w:tr>
        <w:tc>
          <w:tcPr>
            <w:vAlign w:val="top"/>
          </w:tcPr>
          <w:p w:rsidR="00000000" w:rsidDel="00000000" w:rsidP="00000000" w:rsidRDefault="00000000" w:rsidRPr="00000000" w14:paraId="0000001D">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1E">
            <w:pPr>
              <w:jc w:val="both"/>
              <w:rPr>
                <w:vertAlign w:val="baseline"/>
              </w:rPr>
            </w:pPr>
            <w:r w:rsidDel="00000000" w:rsidR="00000000" w:rsidRPr="00000000">
              <w:rPr>
                <w:vertAlign w:val="baseline"/>
                <w:rtl w:val="0"/>
              </w:rPr>
              <w:t xml:space="preserve">Articolul 4 va avea următorul cuprins: </w:t>
            </w:r>
          </w:p>
          <w:p w:rsidR="00000000" w:rsidDel="00000000" w:rsidP="00000000" w:rsidRDefault="00000000" w:rsidRPr="00000000" w14:paraId="0000001F">
            <w:pPr>
              <w:jc w:val="both"/>
              <w:rPr>
                <w:vertAlign w:val="baseline"/>
              </w:rPr>
            </w:pPr>
            <w:r w:rsidDel="00000000" w:rsidR="00000000" w:rsidRPr="00000000">
              <w:rPr>
                <w:rtl w:val="0"/>
              </w:rPr>
            </w:r>
          </w:p>
          <w:p w:rsidR="00000000" w:rsidDel="00000000" w:rsidP="00000000" w:rsidRDefault="00000000" w:rsidRPr="00000000" w14:paraId="00000020">
            <w:pPr>
              <w:jc w:val="both"/>
              <w:rPr>
                <w:vertAlign w:val="baseline"/>
              </w:rPr>
            </w:pPr>
            <w:r w:rsidDel="00000000" w:rsidR="00000000" w:rsidRPr="00000000">
              <w:rPr>
                <w:b w:val="1"/>
                <w:vertAlign w:val="baseline"/>
                <w:rtl w:val="0"/>
              </w:rPr>
              <w:t xml:space="preserve">Art.4 - Articolul 95 din Legea nr. 303/2004 privind statutul judecătorilor şi procurorilor, republicată în Monitorul Oficial al României, Partea I, nr. 826 din 13 septembrie 2005, cu modificările şi completările ulterioare, se modifică și va avea următorul cuprins:</w:t>
            </w:r>
            <w:r w:rsidDel="00000000" w:rsidR="00000000" w:rsidRPr="00000000">
              <w:rPr>
                <w:vertAlign w:val="baseline"/>
                <w:rtl w:val="0"/>
              </w:rPr>
              <w:t xml:space="preserve"> </w:t>
            </w:r>
          </w:p>
          <w:p w:rsidR="00000000" w:rsidDel="00000000" w:rsidP="00000000" w:rsidRDefault="00000000" w:rsidRPr="00000000" w14:paraId="00000021">
            <w:pPr>
              <w:jc w:val="both"/>
              <w:rPr>
                <w:vertAlign w:val="baseline"/>
              </w:rPr>
            </w:pPr>
            <w:r w:rsidDel="00000000" w:rsidR="00000000" w:rsidRPr="00000000">
              <w:rPr>
                <w:rtl w:val="0"/>
              </w:rPr>
            </w:r>
          </w:p>
          <w:p w:rsidR="00000000" w:rsidDel="00000000" w:rsidP="00000000" w:rsidRDefault="00000000" w:rsidRPr="00000000" w14:paraId="00000022">
            <w:pPr>
              <w:jc w:val="both"/>
              <w:rPr>
                <w:vertAlign w:val="baseline"/>
              </w:rPr>
            </w:pPr>
            <w:r w:rsidDel="00000000" w:rsidR="00000000" w:rsidRPr="00000000">
              <w:rPr>
                <w:vertAlign w:val="baseline"/>
                <w:rtl w:val="0"/>
              </w:rPr>
              <w:t xml:space="preserve">”Art.95 - (1) Judecătorii şi procurorii pot fi percheziţionaţi, reţinuţi, </w:t>
            </w:r>
            <w:r w:rsidDel="00000000" w:rsidR="00000000" w:rsidRPr="00000000">
              <w:rPr>
                <w:b w:val="1"/>
                <w:vertAlign w:val="baseline"/>
                <w:rtl w:val="0"/>
              </w:rPr>
              <w:t xml:space="preserve">arestaţi preventiv sau arestați la domiciliu</w:t>
            </w:r>
            <w:r w:rsidDel="00000000" w:rsidR="00000000" w:rsidRPr="00000000">
              <w:rPr>
                <w:vertAlign w:val="baseline"/>
                <w:rtl w:val="0"/>
              </w:rPr>
              <w:t xml:space="preserve"> numai cu încuviinţarea Secţiei pentru judecători sau, după caz, a Secţiei pentru procurori a Consiliului Superior al Magistraturii. </w:t>
            </w:r>
          </w:p>
          <w:p w:rsidR="00000000" w:rsidDel="00000000" w:rsidP="00000000" w:rsidRDefault="00000000" w:rsidRPr="00000000" w14:paraId="00000023">
            <w:pPr>
              <w:jc w:val="both"/>
              <w:rPr>
                <w:vertAlign w:val="baseline"/>
              </w:rPr>
            </w:pPr>
            <w:r w:rsidDel="00000000" w:rsidR="00000000" w:rsidRPr="00000000">
              <w:rPr>
                <w:rtl w:val="0"/>
              </w:rPr>
            </w:r>
          </w:p>
          <w:p w:rsidR="00000000" w:rsidDel="00000000" w:rsidP="00000000" w:rsidRDefault="00000000" w:rsidRPr="00000000" w14:paraId="00000024">
            <w:pPr>
              <w:jc w:val="both"/>
              <w:rPr>
                <w:b w:val="0"/>
                <w:vertAlign w:val="baseline"/>
              </w:rPr>
            </w:pPr>
            <w:r w:rsidDel="00000000" w:rsidR="00000000" w:rsidRPr="00000000">
              <w:rPr>
                <w:vertAlign w:val="baseline"/>
                <w:rtl w:val="0"/>
              </w:rPr>
              <w:t xml:space="preserve">(2) </w:t>
            </w:r>
            <w:r w:rsidDel="00000000" w:rsidR="00000000" w:rsidRPr="00000000">
              <w:rPr>
                <w:b w:val="1"/>
                <w:vertAlign w:val="baseline"/>
                <w:rtl w:val="0"/>
              </w:rPr>
              <w:t xml:space="preserve">Judecătorii şi procurorii pot fi trimiși în judecată pentru săvârșirea unei infracțiuni contra înfăptuirii justiției, de corupție și de serviciu ori a unei infracțiuni asimilate infracțiunilor de corupție numai cu încuviinţarea Secţiei pentru judecători sau, după caz, a Secţiei pentru procurori a Consiliului Superior al Magistraturii. </w:t>
            </w:r>
            <w:r w:rsidDel="00000000" w:rsidR="00000000" w:rsidRPr="00000000">
              <w:rPr>
                <w:rtl w:val="0"/>
              </w:rPr>
            </w:r>
          </w:p>
          <w:p w:rsidR="00000000" w:rsidDel="00000000" w:rsidP="00000000" w:rsidRDefault="00000000" w:rsidRPr="00000000" w14:paraId="00000025">
            <w:pPr>
              <w:jc w:val="both"/>
              <w:rPr>
                <w:b w:val="0"/>
                <w:vertAlign w:val="baseline"/>
              </w:rPr>
            </w:pP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vertAlign w:val="baseline"/>
                <w:rtl w:val="0"/>
              </w:rPr>
              <w:t xml:space="preserve">(3) În caz de infracțiune flagrantă, judecătorii și procurorii pot fi reținuți și supuși percheziției potrivit legii, Secția pentru judecători sau, după caz, Secția pentru procurori fiind informată de îndată de organul care a dispus reținerea sau percheziția.”</w:t>
            </w:r>
          </w:p>
        </w:tc>
        <w:tc>
          <w:tcPr>
            <w:vAlign w:val="top"/>
          </w:tcPr>
          <w:p w:rsidR="00000000" w:rsidDel="00000000" w:rsidP="00000000" w:rsidRDefault="00000000" w:rsidRPr="00000000" w14:paraId="00000027">
            <w:pPr>
              <w:jc w:val="both"/>
              <w:rPr>
                <w:b w:val="0"/>
                <w:vertAlign w:val="baseline"/>
              </w:rPr>
            </w:pPr>
            <w:r w:rsidDel="00000000" w:rsidR="00000000" w:rsidRPr="00000000">
              <w:rPr>
                <w:b w:val="1"/>
                <w:vertAlign w:val="baseline"/>
                <w:rtl w:val="0"/>
              </w:rPr>
              <w:t xml:space="preserve">Amendament de eliminare a art. 4</w:t>
            </w:r>
            <w:r w:rsidDel="00000000" w:rsidR="00000000" w:rsidRPr="00000000">
              <w:rPr>
                <w:rtl w:val="0"/>
              </w:rPr>
            </w:r>
          </w:p>
          <w:p w:rsidR="00000000" w:rsidDel="00000000" w:rsidP="00000000" w:rsidRDefault="00000000" w:rsidRPr="00000000" w14:paraId="00000028">
            <w:pPr>
              <w:jc w:val="both"/>
              <w:rPr>
                <w:b w:val="0"/>
                <w:vertAlign w:val="baseline"/>
              </w:rPr>
            </w:pPr>
            <w:r w:rsidDel="00000000" w:rsidR="00000000" w:rsidRPr="00000000">
              <w:rPr>
                <w:rtl w:val="0"/>
              </w:rPr>
            </w:r>
          </w:p>
          <w:p w:rsidR="00000000" w:rsidDel="00000000" w:rsidP="00000000" w:rsidRDefault="00000000" w:rsidRPr="00000000" w14:paraId="00000029">
            <w:pPr>
              <w:jc w:val="both"/>
              <w:rPr>
                <w:b w:val="0"/>
                <w:vertAlign w:val="baseline"/>
              </w:rPr>
            </w:pPr>
            <w:r w:rsidDel="00000000" w:rsidR="00000000" w:rsidRPr="00000000">
              <w:rPr>
                <w:rtl w:val="0"/>
              </w:rPr>
            </w:r>
          </w:p>
        </w:tc>
        <w:tc>
          <w:tcPr>
            <w:vAlign w:val="top"/>
          </w:tcPr>
          <w:p w:rsidR="00000000" w:rsidDel="00000000" w:rsidP="00000000" w:rsidRDefault="00000000" w:rsidRPr="00000000" w14:paraId="0000002A">
            <w:pPr>
              <w:jc w:val="both"/>
              <w:rPr>
                <w:b w:val="0"/>
                <w:sz w:val="20"/>
                <w:szCs w:val="20"/>
                <w:vertAlign w:val="baseline"/>
              </w:rPr>
            </w:pPr>
            <w:r w:rsidDel="00000000" w:rsidR="00000000" w:rsidRPr="00000000">
              <w:rPr>
                <w:b w:val="1"/>
                <w:sz w:val="20"/>
                <w:szCs w:val="20"/>
                <w:vertAlign w:val="baseline"/>
                <w:rtl w:val="0"/>
              </w:rPr>
              <w:t xml:space="preserve">Autori: senatorii PNL</w:t>
            </w:r>
            <w:r w:rsidDel="00000000" w:rsidR="00000000" w:rsidRPr="00000000">
              <w:rPr>
                <w:rtl w:val="0"/>
              </w:rPr>
            </w:r>
          </w:p>
          <w:p w:rsidR="00000000" w:rsidDel="00000000" w:rsidP="00000000" w:rsidRDefault="00000000" w:rsidRPr="00000000" w14:paraId="0000002B">
            <w:pPr>
              <w:numPr>
                <w:ilvl w:val="0"/>
                <w:numId w:val="6"/>
              </w:numPr>
              <w:ind w:left="720" w:hanging="360"/>
              <w:jc w:val="both"/>
              <w:rPr>
                <w:b w:val="0"/>
                <w:sz w:val="20"/>
                <w:szCs w:val="20"/>
              </w:rPr>
            </w:pPr>
            <w:r w:rsidDel="00000000" w:rsidR="00000000" w:rsidRPr="00000000">
              <w:rPr>
                <w:b w:val="1"/>
                <w:sz w:val="20"/>
                <w:szCs w:val="20"/>
                <w:vertAlign w:val="baseline"/>
                <w:rtl w:val="0"/>
              </w:rPr>
              <w:t xml:space="preserve">Laura – Iuliana SCÂNTEI</w:t>
            </w:r>
            <w:r w:rsidDel="00000000" w:rsidR="00000000" w:rsidRPr="00000000">
              <w:rPr>
                <w:rtl w:val="0"/>
              </w:rPr>
            </w:r>
          </w:p>
          <w:p w:rsidR="00000000" w:rsidDel="00000000" w:rsidP="00000000" w:rsidRDefault="00000000" w:rsidRPr="00000000" w14:paraId="0000002C">
            <w:pPr>
              <w:numPr>
                <w:ilvl w:val="0"/>
                <w:numId w:val="6"/>
              </w:numPr>
              <w:ind w:left="720" w:hanging="360"/>
              <w:jc w:val="both"/>
              <w:rPr>
                <w:b w:val="0"/>
                <w:sz w:val="20"/>
                <w:szCs w:val="20"/>
              </w:rPr>
            </w:pPr>
            <w:r w:rsidDel="00000000" w:rsidR="00000000" w:rsidRPr="00000000">
              <w:rPr>
                <w:b w:val="1"/>
                <w:sz w:val="20"/>
                <w:szCs w:val="20"/>
                <w:vertAlign w:val="baseline"/>
                <w:rtl w:val="0"/>
              </w:rPr>
              <w:t xml:space="preserve">Daniel FENECHIU</w:t>
            </w:r>
            <w:r w:rsidDel="00000000" w:rsidR="00000000" w:rsidRPr="00000000">
              <w:rPr>
                <w:rtl w:val="0"/>
              </w:rPr>
            </w:r>
          </w:p>
          <w:p w:rsidR="00000000" w:rsidDel="00000000" w:rsidP="00000000" w:rsidRDefault="00000000" w:rsidRPr="00000000" w14:paraId="0000002D">
            <w:pPr>
              <w:numPr>
                <w:ilvl w:val="0"/>
                <w:numId w:val="6"/>
              </w:numPr>
              <w:ind w:left="720" w:hanging="360"/>
              <w:jc w:val="both"/>
              <w:rPr>
                <w:b w:val="0"/>
                <w:sz w:val="20"/>
                <w:szCs w:val="20"/>
              </w:rPr>
            </w:pPr>
            <w:r w:rsidDel="00000000" w:rsidR="00000000" w:rsidRPr="00000000">
              <w:rPr>
                <w:b w:val="1"/>
                <w:sz w:val="20"/>
                <w:szCs w:val="20"/>
                <w:vertAlign w:val="baseline"/>
                <w:rtl w:val="0"/>
              </w:rPr>
              <w:t xml:space="preserve">Claudia - Mihaela BANU</w:t>
            </w:r>
            <w:r w:rsidDel="00000000" w:rsidR="00000000" w:rsidRPr="00000000">
              <w:rPr>
                <w:rtl w:val="0"/>
              </w:rPr>
            </w:r>
          </w:p>
          <w:p w:rsidR="00000000" w:rsidDel="00000000" w:rsidP="00000000" w:rsidRDefault="00000000" w:rsidRPr="00000000" w14:paraId="0000002E">
            <w:pPr>
              <w:numPr>
                <w:ilvl w:val="0"/>
                <w:numId w:val="6"/>
              </w:numPr>
              <w:ind w:left="720" w:hanging="360"/>
              <w:jc w:val="both"/>
              <w:rPr>
                <w:b w:val="0"/>
                <w:sz w:val="20"/>
                <w:szCs w:val="20"/>
              </w:rPr>
            </w:pPr>
            <w:r w:rsidDel="00000000" w:rsidR="00000000" w:rsidRPr="00000000">
              <w:rPr>
                <w:b w:val="1"/>
                <w:sz w:val="20"/>
                <w:szCs w:val="20"/>
                <w:vertAlign w:val="baseline"/>
                <w:rtl w:val="0"/>
              </w:rPr>
              <w:t xml:space="preserve">Cristian-Augustin NICULESCU-ŢÂGÂRLAŞ</w:t>
            </w:r>
            <w:r w:rsidDel="00000000" w:rsidR="00000000" w:rsidRPr="00000000">
              <w:rPr>
                <w:rtl w:val="0"/>
              </w:rPr>
            </w:r>
          </w:p>
          <w:p w:rsidR="00000000" w:rsidDel="00000000" w:rsidP="00000000" w:rsidRDefault="00000000" w:rsidRPr="00000000" w14:paraId="0000002F">
            <w:pPr>
              <w:jc w:val="both"/>
              <w:rPr>
                <w:b w:val="0"/>
                <w:sz w:val="28"/>
                <w:szCs w:val="28"/>
                <w:vertAlign w:val="baseline"/>
              </w:rPr>
            </w:pPr>
            <w:r w:rsidDel="00000000" w:rsidR="00000000" w:rsidRPr="00000000">
              <w:rPr>
                <w:rtl w:val="0"/>
              </w:rPr>
            </w:r>
          </w:p>
        </w:tc>
      </w:tr>
      <w:tr>
        <w:tc>
          <w:tcPr>
            <w:vAlign w:val="top"/>
          </w:tcPr>
          <w:p w:rsidR="00000000" w:rsidDel="00000000" w:rsidP="00000000" w:rsidRDefault="00000000" w:rsidRPr="00000000" w14:paraId="00000030">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31">
            <w:pPr>
              <w:jc w:val="both"/>
              <w:rPr>
                <w:b w:val="0"/>
                <w:vertAlign w:val="baseline"/>
              </w:rPr>
            </w:pPr>
            <w:r w:rsidDel="00000000" w:rsidR="00000000" w:rsidRPr="00000000">
              <w:rPr>
                <w:b w:val="1"/>
                <w:vertAlign w:val="baseline"/>
                <w:rtl w:val="0"/>
              </w:rPr>
              <w:t xml:space="preserve">Art.5.</w:t>
            </w:r>
            <w:r w:rsidDel="00000000" w:rsidR="00000000" w:rsidRPr="00000000">
              <w:rPr>
                <w:vertAlign w:val="baseline"/>
                <w:rtl w:val="0"/>
              </w:rPr>
              <w:t xml:space="preserve"> - La data intrării în vigoare a prezentei legi se abrogă Secțiunea 21 - „Secția pentru investigarea infracțiunilor din justiție" din Legea nr. 304/2004 privind organizarea judiciară, republicată în Monitorul Oficial al României, Partea I, nr. 827 din 13 septembrie 2005, cu modificările și completările ulterioare.</w:t>
            </w:r>
            <w:r w:rsidDel="00000000" w:rsidR="00000000" w:rsidRPr="00000000">
              <w:rPr>
                <w:rtl w:val="0"/>
              </w:rPr>
            </w:r>
          </w:p>
        </w:tc>
        <w:tc>
          <w:tcPr>
            <w:vAlign w:val="top"/>
          </w:tcPr>
          <w:p w:rsidR="00000000" w:rsidDel="00000000" w:rsidP="00000000" w:rsidRDefault="00000000" w:rsidRPr="00000000" w14:paraId="00000032">
            <w:pPr>
              <w:jc w:val="both"/>
              <w:rPr>
                <w:b w:val="0"/>
                <w:sz w:val="28"/>
                <w:szCs w:val="28"/>
                <w:vertAlign w:val="baseline"/>
              </w:rPr>
            </w:pPr>
            <w:r w:rsidDel="00000000" w:rsidR="00000000" w:rsidRPr="00000000">
              <w:rPr>
                <w:b w:val="1"/>
                <w:vertAlign w:val="baseline"/>
                <w:rtl w:val="0"/>
              </w:rPr>
              <w:t xml:space="preserve">Art. 5 redevine art. 4</w:t>
            </w:r>
            <w:r w:rsidDel="00000000" w:rsidR="00000000" w:rsidRPr="00000000">
              <w:rPr>
                <w:rtl w:val="0"/>
              </w:rPr>
            </w:r>
          </w:p>
        </w:tc>
        <w:tc>
          <w:tcPr>
            <w:vAlign w:val="top"/>
          </w:tcPr>
          <w:p w:rsidR="00000000" w:rsidDel="00000000" w:rsidP="00000000" w:rsidRDefault="00000000" w:rsidRPr="00000000" w14:paraId="00000033">
            <w:pPr>
              <w:jc w:val="both"/>
              <w:rPr>
                <w:b w:val="0"/>
                <w:sz w:val="20"/>
                <w:szCs w:val="20"/>
                <w:vertAlign w:val="baseline"/>
              </w:rPr>
            </w:pPr>
            <w:r w:rsidDel="00000000" w:rsidR="00000000" w:rsidRPr="00000000">
              <w:rPr>
                <w:b w:val="1"/>
                <w:sz w:val="20"/>
                <w:szCs w:val="20"/>
                <w:vertAlign w:val="baseline"/>
                <w:rtl w:val="0"/>
              </w:rPr>
              <w:t xml:space="preserve">Autori: senatorii PNL</w:t>
            </w:r>
            <w:r w:rsidDel="00000000" w:rsidR="00000000" w:rsidRPr="00000000">
              <w:rPr>
                <w:rtl w:val="0"/>
              </w:rPr>
            </w:r>
          </w:p>
          <w:p w:rsidR="00000000" w:rsidDel="00000000" w:rsidP="00000000" w:rsidRDefault="00000000" w:rsidRPr="00000000" w14:paraId="00000034">
            <w:pPr>
              <w:numPr>
                <w:ilvl w:val="0"/>
                <w:numId w:val="1"/>
              </w:numPr>
              <w:ind w:left="720" w:hanging="360"/>
              <w:jc w:val="both"/>
              <w:rPr>
                <w:b w:val="0"/>
                <w:sz w:val="20"/>
                <w:szCs w:val="20"/>
              </w:rPr>
            </w:pPr>
            <w:r w:rsidDel="00000000" w:rsidR="00000000" w:rsidRPr="00000000">
              <w:rPr>
                <w:b w:val="1"/>
                <w:sz w:val="20"/>
                <w:szCs w:val="20"/>
                <w:vertAlign w:val="baseline"/>
                <w:rtl w:val="0"/>
              </w:rPr>
              <w:t xml:space="preserve">Laura – Iuliana SCÂNTEI</w:t>
            </w:r>
            <w:r w:rsidDel="00000000" w:rsidR="00000000" w:rsidRPr="00000000">
              <w:rPr>
                <w:rtl w:val="0"/>
              </w:rPr>
            </w:r>
          </w:p>
          <w:p w:rsidR="00000000" w:rsidDel="00000000" w:rsidP="00000000" w:rsidRDefault="00000000" w:rsidRPr="00000000" w14:paraId="00000035">
            <w:pPr>
              <w:numPr>
                <w:ilvl w:val="0"/>
                <w:numId w:val="1"/>
              </w:numPr>
              <w:ind w:left="720" w:hanging="360"/>
              <w:jc w:val="both"/>
              <w:rPr>
                <w:b w:val="0"/>
                <w:sz w:val="20"/>
                <w:szCs w:val="20"/>
              </w:rPr>
            </w:pPr>
            <w:r w:rsidDel="00000000" w:rsidR="00000000" w:rsidRPr="00000000">
              <w:rPr>
                <w:b w:val="1"/>
                <w:sz w:val="20"/>
                <w:szCs w:val="20"/>
                <w:vertAlign w:val="baseline"/>
                <w:rtl w:val="0"/>
              </w:rPr>
              <w:t xml:space="preserve">Daniel FENECHIU</w:t>
            </w:r>
            <w:r w:rsidDel="00000000" w:rsidR="00000000" w:rsidRPr="00000000">
              <w:rPr>
                <w:rtl w:val="0"/>
              </w:rPr>
            </w:r>
          </w:p>
          <w:p w:rsidR="00000000" w:rsidDel="00000000" w:rsidP="00000000" w:rsidRDefault="00000000" w:rsidRPr="00000000" w14:paraId="00000036">
            <w:pPr>
              <w:numPr>
                <w:ilvl w:val="0"/>
                <w:numId w:val="1"/>
              </w:numPr>
              <w:ind w:left="720" w:hanging="360"/>
              <w:jc w:val="both"/>
              <w:rPr>
                <w:b w:val="0"/>
                <w:sz w:val="20"/>
                <w:szCs w:val="20"/>
              </w:rPr>
            </w:pPr>
            <w:r w:rsidDel="00000000" w:rsidR="00000000" w:rsidRPr="00000000">
              <w:rPr>
                <w:b w:val="1"/>
                <w:sz w:val="20"/>
                <w:szCs w:val="20"/>
                <w:vertAlign w:val="baseline"/>
                <w:rtl w:val="0"/>
              </w:rPr>
              <w:t xml:space="preserve">Claudia - Mihaela BANU</w:t>
            </w:r>
            <w:r w:rsidDel="00000000" w:rsidR="00000000" w:rsidRPr="00000000">
              <w:rPr>
                <w:rtl w:val="0"/>
              </w:rPr>
            </w:r>
          </w:p>
          <w:p w:rsidR="00000000" w:rsidDel="00000000" w:rsidP="00000000" w:rsidRDefault="00000000" w:rsidRPr="00000000" w14:paraId="00000037">
            <w:pPr>
              <w:numPr>
                <w:ilvl w:val="0"/>
                <w:numId w:val="1"/>
              </w:numPr>
              <w:ind w:left="720" w:hanging="360"/>
              <w:jc w:val="both"/>
              <w:rPr>
                <w:b w:val="0"/>
                <w:sz w:val="20"/>
                <w:szCs w:val="20"/>
              </w:rPr>
            </w:pPr>
            <w:r w:rsidDel="00000000" w:rsidR="00000000" w:rsidRPr="00000000">
              <w:rPr>
                <w:b w:val="1"/>
                <w:sz w:val="20"/>
                <w:szCs w:val="20"/>
                <w:vertAlign w:val="baseline"/>
                <w:rtl w:val="0"/>
              </w:rPr>
              <w:t xml:space="preserve">Cristian-Augustin NICULESCU-ŢÂGÂRLAŞ</w:t>
            </w:r>
            <w:r w:rsidDel="00000000" w:rsidR="00000000" w:rsidRPr="00000000">
              <w:rPr>
                <w:rtl w:val="0"/>
              </w:rPr>
            </w:r>
          </w:p>
          <w:p w:rsidR="00000000" w:rsidDel="00000000" w:rsidP="00000000" w:rsidRDefault="00000000" w:rsidRPr="00000000" w14:paraId="00000038">
            <w:pPr>
              <w:jc w:val="both"/>
              <w:rPr>
                <w:b w:val="0"/>
                <w:sz w:val="28"/>
                <w:szCs w:val="28"/>
                <w:vertAlign w:val="baseline"/>
              </w:rPr>
            </w:pPr>
            <w:r w:rsidDel="00000000" w:rsidR="00000000" w:rsidRPr="00000000">
              <w:rPr>
                <w:rtl w:val="0"/>
              </w:rPr>
            </w:r>
          </w:p>
        </w:tc>
      </w:tr>
      <w:tr>
        <w:tc>
          <w:tcPr>
            <w:vAlign w:val="top"/>
          </w:tcPr>
          <w:p w:rsidR="00000000" w:rsidDel="00000000" w:rsidP="00000000" w:rsidRDefault="00000000" w:rsidRPr="00000000" w14:paraId="00000039">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3A">
            <w:pPr>
              <w:jc w:val="both"/>
              <w:rPr>
                <w:b w:val="0"/>
                <w:vertAlign w:val="baseline"/>
              </w:rPr>
            </w:pPr>
            <w:r w:rsidDel="00000000" w:rsidR="00000000" w:rsidRPr="00000000">
              <w:rPr>
                <w:b w:val="1"/>
                <w:vertAlign w:val="baseline"/>
                <w:rtl w:val="0"/>
              </w:rPr>
              <w:t xml:space="preserve">După articolul 5, se introduce un articol nou, articolul 6, cu următorul cuprins: </w:t>
            </w:r>
            <w:r w:rsidDel="00000000" w:rsidR="00000000" w:rsidRPr="00000000">
              <w:rPr>
                <w:rtl w:val="0"/>
              </w:rPr>
            </w:r>
          </w:p>
          <w:p w:rsidR="00000000" w:rsidDel="00000000" w:rsidP="00000000" w:rsidRDefault="00000000" w:rsidRPr="00000000" w14:paraId="0000003B">
            <w:pPr>
              <w:jc w:val="both"/>
              <w:rPr>
                <w:b w:val="0"/>
                <w:vertAlign w:val="baseline"/>
              </w:rPr>
            </w:pPr>
            <w:r w:rsidDel="00000000" w:rsidR="00000000" w:rsidRPr="00000000">
              <w:rPr>
                <w:rtl w:val="0"/>
              </w:rPr>
            </w:r>
          </w:p>
          <w:p w:rsidR="00000000" w:rsidDel="00000000" w:rsidP="00000000" w:rsidRDefault="00000000" w:rsidRPr="00000000" w14:paraId="0000003C">
            <w:pPr>
              <w:jc w:val="both"/>
              <w:rPr>
                <w:b w:val="0"/>
                <w:vertAlign w:val="baseline"/>
              </w:rPr>
            </w:pPr>
            <w:r w:rsidDel="00000000" w:rsidR="00000000" w:rsidRPr="00000000">
              <w:rPr>
                <w:b w:val="1"/>
                <w:vertAlign w:val="baseline"/>
                <w:rtl w:val="0"/>
              </w:rPr>
              <w:t xml:space="preserve">Art.6 - Legea nr. 317/2004 privind Consiliul Superior al Magistraturii, republicată în Monitorul Oficial al României, Partea I nr. 628 din 1 septembrie 2012, cu modificările și completările ulterioare, se modifică și va avea următorul cuprins 1. Alineatul (2) al articolului 28 va avea următorul cuprins:</w:t>
            </w:r>
            <w:r w:rsidDel="00000000" w:rsidR="00000000" w:rsidRPr="00000000">
              <w:rPr>
                <w:rtl w:val="0"/>
              </w:rPr>
            </w:r>
          </w:p>
          <w:p w:rsidR="00000000" w:rsidDel="00000000" w:rsidP="00000000" w:rsidRDefault="00000000" w:rsidRPr="00000000" w14:paraId="0000003D">
            <w:pPr>
              <w:numPr>
                <w:ilvl w:val="0"/>
                <w:numId w:val="5"/>
              </w:numPr>
              <w:ind w:left="166" w:firstLine="194"/>
              <w:jc w:val="both"/>
              <w:rPr/>
            </w:pPr>
            <w:r w:rsidDel="00000000" w:rsidR="00000000" w:rsidRPr="00000000">
              <w:rPr>
                <w:b w:val="1"/>
                <w:vertAlign w:val="baseline"/>
                <w:rtl w:val="0"/>
              </w:rPr>
              <w:t xml:space="preserve">Alineatul (2) al articolului 28 va avea următorul cuprins:</w:t>
            </w:r>
            <w:r w:rsidDel="00000000" w:rsidR="00000000" w:rsidRPr="00000000">
              <w:rPr>
                <w:rtl w:val="0"/>
              </w:rPr>
            </w:r>
          </w:p>
          <w:p w:rsidR="00000000" w:rsidDel="00000000" w:rsidP="00000000" w:rsidRDefault="00000000" w:rsidRPr="00000000" w14:paraId="0000003E">
            <w:pPr>
              <w:ind w:left="166" w:firstLine="0"/>
              <w:jc w:val="both"/>
              <w:rPr>
                <w:vertAlign w:val="baseline"/>
              </w:rPr>
            </w:pPr>
            <w:r w:rsidDel="00000000" w:rsidR="00000000" w:rsidRPr="00000000">
              <w:rPr>
                <w:rtl w:val="0"/>
              </w:rPr>
            </w:r>
          </w:p>
          <w:p w:rsidR="00000000" w:rsidDel="00000000" w:rsidP="00000000" w:rsidRDefault="00000000" w:rsidRPr="00000000" w14:paraId="0000003F">
            <w:pPr>
              <w:ind w:left="166" w:firstLine="0"/>
              <w:jc w:val="both"/>
              <w:rPr>
                <w:b w:val="0"/>
                <w:vertAlign w:val="baseline"/>
              </w:rPr>
            </w:pPr>
            <w:r w:rsidDel="00000000" w:rsidR="00000000" w:rsidRPr="00000000">
              <w:rPr>
                <w:vertAlign w:val="baseline"/>
                <w:rtl w:val="0"/>
              </w:rPr>
              <w:t xml:space="preserve">„(2) Președintele Înaltei Curți de Casație și Justiție, ministrul justiției și procurorul general al Parchetului de pe lângă Înalta Curte de Casație și Justiție nu au drept de vot în situațiile în care secțiile îndeplinesc rolul de instanță de judecată în domeniul răspunderii disciplinare, la soluționarea sesizărilor referitoare la buna reputație a judecătorilor și procurorilor, a cererilor privind încuviințarea percheziției, reținerii, arestării preventive sau arestului la domiciliu cu privire la judecători, procurori ori magistrați-asistenți, </w:t>
            </w:r>
            <w:r w:rsidDel="00000000" w:rsidR="00000000" w:rsidRPr="00000000">
              <w:rPr>
                <w:b w:val="1"/>
                <w:vertAlign w:val="baseline"/>
                <w:rtl w:val="0"/>
              </w:rPr>
              <w:t xml:space="preserve">precum și a cererilor privind încuviințarea trimiterii în judecată a judecătorilor și procurorilor pentru săvârșirea unei infracțiuni contra înfăptuirii justiției, de corupție și de serviciu ori a unei infracțiuni asimilate infracțiunilor de corupție.”</w:t>
            </w:r>
            <w:r w:rsidDel="00000000" w:rsidR="00000000" w:rsidRPr="00000000">
              <w:rPr>
                <w:rtl w:val="0"/>
              </w:rPr>
            </w:r>
          </w:p>
          <w:p w:rsidR="00000000" w:rsidDel="00000000" w:rsidP="00000000" w:rsidRDefault="00000000" w:rsidRPr="00000000" w14:paraId="00000040">
            <w:pPr>
              <w:ind w:left="166" w:firstLine="0"/>
              <w:jc w:val="both"/>
              <w:rPr>
                <w:vertAlign w:val="baseline"/>
              </w:rPr>
            </w:pPr>
            <w:r w:rsidDel="00000000" w:rsidR="00000000" w:rsidRPr="00000000">
              <w:rPr>
                <w:rtl w:val="0"/>
              </w:rPr>
            </w:r>
          </w:p>
          <w:p w:rsidR="00000000" w:rsidDel="00000000" w:rsidP="00000000" w:rsidRDefault="00000000" w:rsidRPr="00000000" w14:paraId="00000041">
            <w:pPr>
              <w:ind w:left="166" w:firstLine="0"/>
              <w:jc w:val="both"/>
              <w:rPr>
                <w:b w:val="0"/>
                <w:vertAlign w:val="baseline"/>
              </w:rPr>
            </w:pPr>
            <w:r w:rsidDel="00000000" w:rsidR="00000000" w:rsidRPr="00000000">
              <w:rPr>
                <w:vertAlign w:val="baseline"/>
                <w:rtl w:val="0"/>
              </w:rPr>
              <w:t xml:space="preserve">2. </w:t>
            </w:r>
            <w:r w:rsidDel="00000000" w:rsidR="00000000" w:rsidRPr="00000000">
              <w:rPr>
                <w:b w:val="1"/>
                <w:vertAlign w:val="baseline"/>
                <w:rtl w:val="0"/>
              </w:rPr>
              <w:t xml:space="preserve">La articolul 42, după alineatul (4) se introduc patru noi alineate, alin. (5)-(8), cu următorul cuprins: </w:t>
            </w:r>
            <w:r w:rsidDel="00000000" w:rsidR="00000000" w:rsidRPr="00000000">
              <w:rPr>
                <w:rtl w:val="0"/>
              </w:rPr>
            </w:r>
          </w:p>
          <w:p w:rsidR="00000000" w:rsidDel="00000000" w:rsidP="00000000" w:rsidRDefault="00000000" w:rsidRPr="00000000" w14:paraId="00000042">
            <w:pPr>
              <w:ind w:left="166" w:firstLine="0"/>
              <w:jc w:val="both"/>
              <w:rPr>
                <w:vertAlign w:val="baseline"/>
              </w:rPr>
            </w:pPr>
            <w:r w:rsidDel="00000000" w:rsidR="00000000" w:rsidRPr="00000000">
              <w:rPr>
                <w:vertAlign w:val="baseline"/>
                <w:rtl w:val="0"/>
              </w:rPr>
              <w:t xml:space="preserve">„(5) Secția pentru judecători a Consiliului Superior al Magistraturii încuviințează trimiterea în judecată a judecătorilor pentru săvârșirea unei infracțiuni contra înfăptuirii justiției, de corupție și de serviciu ori a unei infracțiuni asimilate infracțiunilor de corupție. </w:t>
            </w:r>
          </w:p>
          <w:p w:rsidR="00000000" w:rsidDel="00000000" w:rsidP="00000000" w:rsidRDefault="00000000" w:rsidRPr="00000000" w14:paraId="00000043">
            <w:pPr>
              <w:ind w:left="166" w:firstLine="0"/>
              <w:jc w:val="both"/>
              <w:rPr>
                <w:vertAlign w:val="baseline"/>
              </w:rPr>
            </w:pPr>
            <w:r w:rsidDel="00000000" w:rsidR="00000000" w:rsidRPr="00000000">
              <w:rPr>
                <w:vertAlign w:val="baseline"/>
                <w:rtl w:val="0"/>
              </w:rPr>
              <w:t xml:space="preserve">(6) Secția pentru procurori a Consiliului Superior al Magistraturii încuviințează trimiterea în judecată a procurorilor pentru săvârșirea unei infracțiuni contra înfăptuirii justiției, de corupție și de serviciu ori a unei infracțiuni asimilate infracțiunilor de corupție.</w:t>
            </w:r>
          </w:p>
          <w:p w:rsidR="00000000" w:rsidDel="00000000" w:rsidP="00000000" w:rsidRDefault="00000000" w:rsidRPr="00000000" w14:paraId="00000044">
            <w:pPr>
              <w:ind w:left="166" w:firstLine="0"/>
              <w:jc w:val="both"/>
              <w:rPr>
                <w:vertAlign w:val="baseline"/>
              </w:rPr>
            </w:pPr>
            <w:r w:rsidDel="00000000" w:rsidR="00000000" w:rsidRPr="00000000">
              <w:rPr>
                <w:vertAlign w:val="baseline"/>
                <w:rtl w:val="0"/>
              </w:rPr>
              <w:t xml:space="preserve"> (7) Dacă cererea de încuviințare a trimiterii în judecată privește un magistrat membru al Consiliului Superior al Magistraturii, acesta nu are drept de vot la soluționarea respectivei cereri. Dispoziţiile prezentului alineat sunt aplicabile în mod corespunzător şi în cazul cererilor de încuviinţare a percheziţiei, reţinerii, arestării preventive sau arestului la domiciliu.</w:t>
            </w:r>
          </w:p>
          <w:p w:rsidR="00000000" w:rsidDel="00000000" w:rsidP="00000000" w:rsidRDefault="00000000" w:rsidRPr="00000000" w14:paraId="00000045">
            <w:pPr>
              <w:ind w:left="166" w:firstLine="0"/>
              <w:jc w:val="both"/>
              <w:rPr>
                <w:vertAlign w:val="baseline"/>
              </w:rPr>
            </w:pPr>
            <w:r w:rsidDel="00000000" w:rsidR="00000000" w:rsidRPr="00000000">
              <w:rPr>
                <w:vertAlign w:val="baseline"/>
                <w:rtl w:val="0"/>
              </w:rPr>
              <w:t xml:space="preserve"> (8) Analizând cererea de încuviințare a trimiterii în judecată, secția nu se poate pronunța cu privire la temeinicia acuzației și nici cu privire la oportunitatea trimiterii în judecată, la legalitatea administrării probelor și a efectuării celorlalte acte de urmărire penală. Secția corespunzătoare se pronunță prin hotărâre, în termen de 15 zile de la primirea acesteia. Secția poate respinge cererea, prin hotărâre motivată.”</w:t>
            </w:r>
          </w:p>
          <w:p w:rsidR="00000000" w:rsidDel="00000000" w:rsidP="00000000" w:rsidRDefault="00000000" w:rsidRPr="00000000" w14:paraId="00000046">
            <w:pPr>
              <w:ind w:left="166" w:firstLine="0"/>
              <w:jc w:val="both"/>
              <w:rPr>
                <w:vertAlign w:val="baseline"/>
              </w:rPr>
            </w:pPr>
            <w:r w:rsidDel="00000000" w:rsidR="00000000" w:rsidRPr="00000000">
              <w:rPr>
                <w:rtl w:val="0"/>
              </w:rPr>
            </w:r>
          </w:p>
          <w:p w:rsidR="00000000" w:rsidDel="00000000" w:rsidP="00000000" w:rsidRDefault="00000000" w:rsidRPr="00000000" w14:paraId="00000047">
            <w:pPr>
              <w:ind w:left="166" w:firstLine="0"/>
              <w:jc w:val="both"/>
              <w:rPr>
                <w:vertAlign w:val="baseline"/>
              </w:rPr>
            </w:pPr>
            <w:r w:rsidDel="00000000" w:rsidR="00000000" w:rsidRPr="00000000">
              <w:rPr>
                <w:rtl w:val="0"/>
              </w:rPr>
            </w:r>
          </w:p>
        </w:tc>
        <w:tc>
          <w:tcPr>
            <w:vAlign w:val="top"/>
          </w:tcPr>
          <w:p w:rsidR="00000000" w:rsidDel="00000000" w:rsidP="00000000" w:rsidRDefault="00000000" w:rsidRPr="00000000" w14:paraId="00000048">
            <w:pPr>
              <w:jc w:val="both"/>
              <w:rPr>
                <w:b w:val="0"/>
                <w:sz w:val="28"/>
                <w:szCs w:val="28"/>
                <w:vertAlign w:val="baseline"/>
              </w:rPr>
            </w:pPr>
            <w:r w:rsidDel="00000000" w:rsidR="00000000" w:rsidRPr="00000000">
              <w:rPr>
                <w:b w:val="1"/>
                <w:vertAlign w:val="baseline"/>
                <w:rtl w:val="0"/>
              </w:rPr>
              <w:t xml:space="preserve">Amendament de eliminare a art.6 in integralitate</w:t>
            </w:r>
            <w:r w:rsidDel="00000000" w:rsidR="00000000" w:rsidRPr="00000000">
              <w:rPr>
                <w:rtl w:val="0"/>
              </w:rPr>
            </w:r>
          </w:p>
        </w:tc>
        <w:tc>
          <w:tcPr>
            <w:vAlign w:val="top"/>
          </w:tcPr>
          <w:p w:rsidR="00000000" w:rsidDel="00000000" w:rsidP="00000000" w:rsidRDefault="00000000" w:rsidRPr="00000000" w14:paraId="00000049">
            <w:pPr>
              <w:jc w:val="both"/>
              <w:rPr>
                <w:b w:val="0"/>
                <w:sz w:val="20"/>
                <w:szCs w:val="20"/>
                <w:vertAlign w:val="baseline"/>
              </w:rPr>
            </w:pPr>
            <w:r w:rsidDel="00000000" w:rsidR="00000000" w:rsidRPr="00000000">
              <w:rPr>
                <w:b w:val="1"/>
                <w:sz w:val="20"/>
                <w:szCs w:val="20"/>
                <w:vertAlign w:val="baseline"/>
                <w:rtl w:val="0"/>
              </w:rPr>
              <w:t xml:space="preserve">Autori: senatorii PNL</w:t>
            </w:r>
            <w:r w:rsidDel="00000000" w:rsidR="00000000" w:rsidRPr="00000000">
              <w:rPr>
                <w:rtl w:val="0"/>
              </w:rPr>
            </w:r>
          </w:p>
          <w:p w:rsidR="00000000" w:rsidDel="00000000" w:rsidP="00000000" w:rsidRDefault="00000000" w:rsidRPr="00000000" w14:paraId="0000004A">
            <w:pPr>
              <w:numPr>
                <w:ilvl w:val="0"/>
                <w:numId w:val="2"/>
              </w:numPr>
              <w:ind w:left="720" w:hanging="360"/>
              <w:jc w:val="both"/>
              <w:rPr>
                <w:b w:val="0"/>
                <w:sz w:val="20"/>
                <w:szCs w:val="20"/>
              </w:rPr>
            </w:pPr>
            <w:r w:rsidDel="00000000" w:rsidR="00000000" w:rsidRPr="00000000">
              <w:rPr>
                <w:b w:val="1"/>
                <w:sz w:val="20"/>
                <w:szCs w:val="20"/>
                <w:vertAlign w:val="baseline"/>
                <w:rtl w:val="0"/>
              </w:rPr>
              <w:t xml:space="preserve">Laura – Iuliana SCÂNTEI</w:t>
            </w:r>
            <w:r w:rsidDel="00000000" w:rsidR="00000000" w:rsidRPr="00000000">
              <w:rPr>
                <w:rtl w:val="0"/>
              </w:rPr>
            </w:r>
          </w:p>
          <w:p w:rsidR="00000000" w:rsidDel="00000000" w:rsidP="00000000" w:rsidRDefault="00000000" w:rsidRPr="00000000" w14:paraId="0000004B">
            <w:pPr>
              <w:numPr>
                <w:ilvl w:val="0"/>
                <w:numId w:val="2"/>
              </w:numPr>
              <w:ind w:left="720" w:hanging="360"/>
              <w:jc w:val="both"/>
              <w:rPr>
                <w:b w:val="0"/>
                <w:sz w:val="20"/>
                <w:szCs w:val="20"/>
              </w:rPr>
            </w:pPr>
            <w:r w:rsidDel="00000000" w:rsidR="00000000" w:rsidRPr="00000000">
              <w:rPr>
                <w:b w:val="1"/>
                <w:sz w:val="20"/>
                <w:szCs w:val="20"/>
                <w:vertAlign w:val="baseline"/>
                <w:rtl w:val="0"/>
              </w:rPr>
              <w:t xml:space="preserve">Daniel FENECHIU</w:t>
            </w:r>
            <w:r w:rsidDel="00000000" w:rsidR="00000000" w:rsidRPr="00000000">
              <w:rPr>
                <w:rtl w:val="0"/>
              </w:rPr>
            </w:r>
          </w:p>
          <w:p w:rsidR="00000000" w:rsidDel="00000000" w:rsidP="00000000" w:rsidRDefault="00000000" w:rsidRPr="00000000" w14:paraId="0000004C">
            <w:pPr>
              <w:numPr>
                <w:ilvl w:val="0"/>
                <w:numId w:val="2"/>
              </w:numPr>
              <w:ind w:left="720" w:hanging="360"/>
              <w:jc w:val="both"/>
              <w:rPr>
                <w:b w:val="0"/>
                <w:sz w:val="20"/>
                <w:szCs w:val="20"/>
              </w:rPr>
            </w:pPr>
            <w:r w:rsidDel="00000000" w:rsidR="00000000" w:rsidRPr="00000000">
              <w:rPr>
                <w:b w:val="1"/>
                <w:sz w:val="20"/>
                <w:szCs w:val="20"/>
                <w:vertAlign w:val="baseline"/>
                <w:rtl w:val="0"/>
              </w:rPr>
              <w:t xml:space="preserve">Claudia - Mihaela BANU</w:t>
            </w:r>
            <w:r w:rsidDel="00000000" w:rsidR="00000000" w:rsidRPr="00000000">
              <w:rPr>
                <w:rtl w:val="0"/>
              </w:rPr>
            </w:r>
          </w:p>
          <w:p w:rsidR="00000000" w:rsidDel="00000000" w:rsidP="00000000" w:rsidRDefault="00000000" w:rsidRPr="00000000" w14:paraId="0000004D">
            <w:pPr>
              <w:numPr>
                <w:ilvl w:val="0"/>
                <w:numId w:val="2"/>
              </w:numPr>
              <w:ind w:left="720" w:hanging="360"/>
              <w:jc w:val="both"/>
              <w:rPr>
                <w:b w:val="0"/>
                <w:sz w:val="20"/>
                <w:szCs w:val="20"/>
              </w:rPr>
            </w:pPr>
            <w:r w:rsidDel="00000000" w:rsidR="00000000" w:rsidRPr="00000000">
              <w:rPr>
                <w:b w:val="1"/>
                <w:sz w:val="20"/>
                <w:szCs w:val="20"/>
                <w:vertAlign w:val="baseline"/>
                <w:rtl w:val="0"/>
              </w:rPr>
              <w:t xml:space="preserve">Cristian-Augustin NICULESCU-ŢÂGÂRLAŞ</w:t>
            </w:r>
            <w:r w:rsidDel="00000000" w:rsidR="00000000" w:rsidRPr="00000000">
              <w:rPr>
                <w:rtl w:val="0"/>
              </w:rPr>
            </w:r>
          </w:p>
          <w:p w:rsidR="00000000" w:rsidDel="00000000" w:rsidP="00000000" w:rsidRDefault="00000000" w:rsidRPr="00000000" w14:paraId="0000004E">
            <w:pPr>
              <w:jc w:val="both"/>
              <w:rPr>
                <w:b w:val="0"/>
                <w:sz w:val="28"/>
                <w:szCs w:val="28"/>
                <w:vertAlign w:val="baseline"/>
              </w:rPr>
            </w:pPr>
            <w:r w:rsidDel="00000000" w:rsidR="00000000" w:rsidRPr="00000000">
              <w:rPr>
                <w:rtl w:val="0"/>
              </w:rPr>
            </w:r>
          </w:p>
        </w:tc>
      </w:tr>
      <w:tr>
        <w:tc>
          <w:tcPr>
            <w:vAlign w:val="top"/>
          </w:tcPr>
          <w:p w:rsidR="00000000" w:rsidDel="00000000" w:rsidP="00000000" w:rsidRDefault="00000000" w:rsidRPr="00000000" w14:paraId="0000004F">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50">
            <w:pPr>
              <w:jc w:val="both"/>
              <w:rPr>
                <w:b w:val="0"/>
                <w:vertAlign w:val="baseline"/>
              </w:rPr>
            </w:pPr>
            <w:r w:rsidDel="00000000" w:rsidR="00000000" w:rsidRPr="00000000">
              <w:rPr>
                <w:b w:val="1"/>
                <w:vertAlign w:val="baseline"/>
                <w:rtl w:val="0"/>
              </w:rPr>
              <w:t xml:space="preserve">Articolul 5 devine articolul 7, cu următorul cuprins:</w:t>
            </w:r>
            <w:r w:rsidDel="00000000" w:rsidR="00000000" w:rsidRPr="00000000">
              <w:rPr>
                <w:rtl w:val="0"/>
              </w:rPr>
            </w:r>
          </w:p>
          <w:p w:rsidR="00000000" w:rsidDel="00000000" w:rsidP="00000000" w:rsidRDefault="00000000" w:rsidRPr="00000000" w14:paraId="00000051">
            <w:pPr>
              <w:jc w:val="both"/>
              <w:rPr>
                <w:sz w:val="28"/>
                <w:szCs w:val="28"/>
                <w:vertAlign w:val="baseline"/>
              </w:rPr>
            </w:pPr>
            <w:r w:rsidDel="00000000" w:rsidR="00000000" w:rsidRPr="00000000">
              <w:rPr>
                <w:b w:val="1"/>
                <w:vertAlign w:val="baseline"/>
                <w:rtl w:val="0"/>
              </w:rPr>
              <w:t xml:space="preserve"> Art. 7</w:t>
            </w:r>
            <w:r w:rsidDel="00000000" w:rsidR="00000000" w:rsidRPr="00000000">
              <w:rPr>
                <w:vertAlign w:val="baseline"/>
                <w:rtl w:val="0"/>
              </w:rPr>
              <w:t xml:space="preserve"> – Legea nr. 303/2004 privind statutul judecătorilor şi procurorilor, republicată în Monitorul Oficial al României, Partea I, nr. 826 din 13 septembrie 2005, cu modificările şi completările ulterioare, Legea nr. 304/2004 privind organizarea judiciară, republicată în Monitorul Oficial al României, Partea I, nr. 827 din 13 septembrie 2005, cu modificările şi completările ulterioare, Legea nr. 317/2004 privind Consiliul Superior al Magistraturii, republicată în Monitorul Oficial al României, Partea I nr. 628 din 1 septembrie 2012, cu modificările și completările ulterioare, precum şi cu modificările aduse prin prezenta lege, se vor republica în Monitorul Oficial al României, Partea I, dându-se textelor o nouă numerotare.</w:t>
            </w:r>
            <w:r w:rsidDel="00000000" w:rsidR="00000000" w:rsidRPr="00000000">
              <w:rPr>
                <w:rtl w:val="0"/>
              </w:rPr>
            </w:r>
          </w:p>
        </w:tc>
        <w:tc>
          <w:tcPr>
            <w:vAlign w:val="top"/>
          </w:tcPr>
          <w:p w:rsidR="00000000" w:rsidDel="00000000" w:rsidP="00000000" w:rsidRDefault="00000000" w:rsidRPr="00000000" w14:paraId="00000052">
            <w:pPr>
              <w:jc w:val="both"/>
              <w:rPr>
                <w:b w:val="0"/>
                <w:sz w:val="28"/>
                <w:szCs w:val="28"/>
                <w:vertAlign w:val="baseline"/>
              </w:rPr>
            </w:pPr>
            <w:r w:rsidDel="00000000" w:rsidR="00000000" w:rsidRPr="00000000">
              <w:rPr>
                <w:b w:val="1"/>
                <w:vertAlign w:val="baseline"/>
                <w:rtl w:val="0"/>
              </w:rPr>
              <w:t xml:space="preserve">Amendament de eliminare a art.7 in integralitate</w:t>
            </w:r>
            <w:r w:rsidDel="00000000" w:rsidR="00000000" w:rsidRPr="00000000">
              <w:rPr>
                <w:rtl w:val="0"/>
              </w:rPr>
            </w:r>
          </w:p>
        </w:tc>
        <w:tc>
          <w:tcPr>
            <w:vAlign w:val="top"/>
          </w:tcPr>
          <w:p w:rsidR="00000000" w:rsidDel="00000000" w:rsidP="00000000" w:rsidRDefault="00000000" w:rsidRPr="00000000" w14:paraId="00000053">
            <w:pPr>
              <w:jc w:val="both"/>
              <w:rPr>
                <w:b w:val="0"/>
                <w:sz w:val="20"/>
                <w:szCs w:val="20"/>
                <w:vertAlign w:val="baseline"/>
              </w:rPr>
            </w:pPr>
            <w:r w:rsidDel="00000000" w:rsidR="00000000" w:rsidRPr="00000000">
              <w:rPr>
                <w:b w:val="1"/>
                <w:sz w:val="20"/>
                <w:szCs w:val="20"/>
                <w:vertAlign w:val="baseline"/>
                <w:rtl w:val="0"/>
              </w:rPr>
              <w:t xml:space="preserve">Autori: senatorii PNL</w:t>
            </w:r>
            <w:r w:rsidDel="00000000" w:rsidR="00000000" w:rsidRPr="00000000">
              <w:rPr>
                <w:rtl w:val="0"/>
              </w:rPr>
            </w:r>
          </w:p>
          <w:p w:rsidR="00000000" w:rsidDel="00000000" w:rsidP="00000000" w:rsidRDefault="00000000" w:rsidRPr="00000000" w14:paraId="00000054">
            <w:pPr>
              <w:numPr>
                <w:ilvl w:val="0"/>
                <w:numId w:val="3"/>
              </w:numPr>
              <w:ind w:left="720" w:hanging="360"/>
              <w:jc w:val="both"/>
              <w:rPr>
                <w:b w:val="0"/>
                <w:sz w:val="20"/>
                <w:szCs w:val="20"/>
              </w:rPr>
            </w:pPr>
            <w:r w:rsidDel="00000000" w:rsidR="00000000" w:rsidRPr="00000000">
              <w:rPr>
                <w:b w:val="1"/>
                <w:sz w:val="20"/>
                <w:szCs w:val="20"/>
                <w:vertAlign w:val="baseline"/>
                <w:rtl w:val="0"/>
              </w:rPr>
              <w:t xml:space="preserve">Laura – Iuliana SCÂNTEI</w:t>
            </w:r>
            <w:r w:rsidDel="00000000" w:rsidR="00000000" w:rsidRPr="00000000">
              <w:rPr>
                <w:rtl w:val="0"/>
              </w:rPr>
            </w:r>
          </w:p>
          <w:p w:rsidR="00000000" w:rsidDel="00000000" w:rsidP="00000000" w:rsidRDefault="00000000" w:rsidRPr="00000000" w14:paraId="00000055">
            <w:pPr>
              <w:numPr>
                <w:ilvl w:val="0"/>
                <w:numId w:val="3"/>
              </w:numPr>
              <w:ind w:left="720" w:hanging="360"/>
              <w:jc w:val="both"/>
              <w:rPr>
                <w:b w:val="0"/>
                <w:sz w:val="20"/>
                <w:szCs w:val="20"/>
              </w:rPr>
            </w:pPr>
            <w:r w:rsidDel="00000000" w:rsidR="00000000" w:rsidRPr="00000000">
              <w:rPr>
                <w:b w:val="1"/>
                <w:sz w:val="20"/>
                <w:szCs w:val="20"/>
                <w:vertAlign w:val="baseline"/>
                <w:rtl w:val="0"/>
              </w:rPr>
              <w:t xml:space="preserve">Daniel FENECHIU</w:t>
            </w:r>
            <w:r w:rsidDel="00000000" w:rsidR="00000000" w:rsidRPr="00000000">
              <w:rPr>
                <w:rtl w:val="0"/>
              </w:rPr>
            </w:r>
          </w:p>
          <w:p w:rsidR="00000000" w:rsidDel="00000000" w:rsidP="00000000" w:rsidRDefault="00000000" w:rsidRPr="00000000" w14:paraId="00000056">
            <w:pPr>
              <w:numPr>
                <w:ilvl w:val="0"/>
                <w:numId w:val="3"/>
              </w:numPr>
              <w:ind w:left="720" w:hanging="360"/>
              <w:jc w:val="both"/>
              <w:rPr>
                <w:b w:val="0"/>
                <w:sz w:val="20"/>
                <w:szCs w:val="20"/>
              </w:rPr>
            </w:pPr>
            <w:r w:rsidDel="00000000" w:rsidR="00000000" w:rsidRPr="00000000">
              <w:rPr>
                <w:b w:val="1"/>
                <w:sz w:val="20"/>
                <w:szCs w:val="20"/>
                <w:vertAlign w:val="baseline"/>
                <w:rtl w:val="0"/>
              </w:rPr>
              <w:t xml:space="preserve">Claudia - Mihaela BANU</w:t>
            </w:r>
            <w:r w:rsidDel="00000000" w:rsidR="00000000" w:rsidRPr="00000000">
              <w:rPr>
                <w:rtl w:val="0"/>
              </w:rPr>
            </w:r>
          </w:p>
          <w:p w:rsidR="00000000" w:rsidDel="00000000" w:rsidP="00000000" w:rsidRDefault="00000000" w:rsidRPr="00000000" w14:paraId="00000057">
            <w:pPr>
              <w:numPr>
                <w:ilvl w:val="0"/>
                <w:numId w:val="3"/>
              </w:numPr>
              <w:ind w:left="720" w:hanging="360"/>
              <w:jc w:val="both"/>
              <w:rPr>
                <w:b w:val="0"/>
                <w:sz w:val="20"/>
                <w:szCs w:val="20"/>
              </w:rPr>
            </w:pPr>
            <w:r w:rsidDel="00000000" w:rsidR="00000000" w:rsidRPr="00000000">
              <w:rPr>
                <w:b w:val="1"/>
                <w:sz w:val="20"/>
                <w:szCs w:val="20"/>
                <w:vertAlign w:val="baseline"/>
                <w:rtl w:val="0"/>
              </w:rPr>
              <w:t xml:space="preserve">Cristian-Augustin NICULESCU-ŢÂGÂRLAŞ</w:t>
            </w:r>
            <w:r w:rsidDel="00000000" w:rsidR="00000000" w:rsidRPr="00000000">
              <w:rPr>
                <w:rtl w:val="0"/>
              </w:rPr>
            </w:r>
          </w:p>
          <w:p w:rsidR="00000000" w:rsidDel="00000000" w:rsidP="00000000" w:rsidRDefault="00000000" w:rsidRPr="00000000" w14:paraId="00000058">
            <w:pPr>
              <w:jc w:val="both"/>
              <w:rPr>
                <w:b w:val="0"/>
                <w:sz w:val="28"/>
                <w:szCs w:val="28"/>
                <w:vertAlign w:val="baseline"/>
              </w:rPr>
            </w:pPr>
            <w:r w:rsidDel="00000000" w:rsidR="00000000" w:rsidRPr="00000000">
              <w:rPr>
                <w:rtl w:val="0"/>
              </w:rPr>
            </w:r>
          </w:p>
        </w:tc>
      </w:tr>
      <w:tr>
        <w:tc>
          <w:tcPr>
            <w:vAlign w:val="top"/>
          </w:tcPr>
          <w:p w:rsidR="00000000" w:rsidDel="00000000" w:rsidP="00000000" w:rsidRDefault="00000000" w:rsidRPr="00000000" w14:paraId="00000059">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5A">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5B">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5C">
            <w:pPr>
              <w:jc w:val="both"/>
              <w:rPr>
                <w:b w:val="0"/>
                <w:sz w:val="28"/>
                <w:szCs w:val="28"/>
                <w:vertAlign w:val="baseline"/>
              </w:rPr>
            </w:pPr>
            <w:r w:rsidDel="00000000" w:rsidR="00000000" w:rsidRPr="00000000">
              <w:rPr>
                <w:rtl w:val="0"/>
              </w:rPr>
            </w:r>
          </w:p>
        </w:tc>
      </w:tr>
      <w:tr>
        <w:tc>
          <w:tcPr>
            <w:vAlign w:val="top"/>
          </w:tcPr>
          <w:p w:rsidR="00000000" w:rsidDel="00000000" w:rsidP="00000000" w:rsidRDefault="00000000" w:rsidRPr="00000000" w14:paraId="0000005D">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5E">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5F">
            <w:pPr>
              <w:jc w:val="both"/>
              <w:rPr>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60">
            <w:pPr>
              <w:jc w:val="both"/>
              <w:rPr>
                <w:b w:val="0"/>
                <w:sz w:val="28"/>
                <w:szCs w:val="28"/>
                <w:vertAlign w:val="baseline"/>
              </w:rPr>
            </w:pPr>
            <w:r w:rsidDel="00000000" w:rsidR="00000000" w:rsidRPr="00000000">
              <w:rPr>
                <w:rtl w:val="0"/>
              </w:rPr>
            </w:r>
          </w:p>
        </w:tc>
      </w:tr>
    </w:tbl>
    <w:p w:rsidR="00000000" w:rsidDel="00000000" w:rsidP="00000000" w:rsidRDefault="00000000" w:rsidRPr="00000000" w14:paraId="00000061">
      <w:pPr>
        <w:jc w:val="both"/>
        <w:rPr>
          <w:b w:val="0"/>
          <w:sz w:val="28"/>
          <w:szCs w:val="28"/>
          <w:vertAlign w:val="baseline"/>
        </w:rPr>
      </w:pPr>
      <w:r w:rsidDel="00000000" w:rsidR="00000000" w:rsidRPr="00000000">
        <w:rPr>
          <w:rtl w:val="0"/>
        </w:rPr>
      </w:r>
    </w:p>
    <w:sectPr>
      <w:footerReference r:id="rId6" w:type="default"/>
      <w:pgSz w:h="12240" w:w="15840" w:orient="landscape"/>
      <w:pgMar w:bottom="426" w:top="630" w:left="99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