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35"/>
      </w:tblGrid>
      <w:tr w:rsidR="00E96CB0" w:rsidRPr="00DB0A96" w14:paraId="64A723B7" w14:textId="77777777" w:rsidTr="00E96CB0">
        <w:tc>
          <w:tcPr>
            <w:tcW w:w="9535" w:type="dxa"/>
          </w:tcPr>
          <w:p w14:paraId="4C53AFD2" w14:textId="462BCA69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br/>
            </w:r>
          </w:p>
          <w:p w14:paraId="418CDFE2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43FBDC70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/>
                <w:sz w:val="18"/>
                <w:szCs w:val="18"/>
                <w:lang w:val="ro-RO"/>
              </w:rPr>
              <w:t>1. TRG a cumpărat de la OPSPI pachetul de 26,6959% de acțiuni deținut la Rompetrol Rafinare S.A. Constanța și a achitat efectiv suma de 200 de milioane de dolari, conform memorandumului de înțelegere? Când s-a făcut sau se va face acest lucru? Când a fost sau va fi ”finalul tranzacției”, potrivit memorandumului?</w:t>
            </w:r>
          </w:p>
          <w:p w14:paraId="30448F0D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5130C1CF" w14:textId="61EC6662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nfiin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at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oiembrie 2018, Fondul de Investiții în Energie Kazah-Român este parte a Memorandumului de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elegere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ncheiat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ntre The Rompetrol Grup - TRG (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prezent, KMG International - KMGI)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Statul Rom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n, prin Ministerul Energiei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2013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aprobat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2014. Pentru mai multe detalii privind implementarea memorandumului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ceea ce prive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te r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scump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rarea de 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tre TRG/KMGI a 26,6959% din acțiunile deținute de statul rom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la Rompetrol Rafinare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,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v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rug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m s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v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adresa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celor dou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par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semnatare ale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elegerii.</w:t>
            </w:r>
          </w:p>
          <w:p w14:paraId="147150AE" w14:textId="77777777" w:rsidR="00E96CB0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222127A6" w14:textId="77777777" w:rsidR="00E96CB0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5688051A" w14:textId="6CCB38B1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Din partea KMGI avem r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spunsul 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va onora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acest angajament asumat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baza Memorandumului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,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nd se va derula procesul de scoatere la v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nzare a ac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iunilor respective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-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26,6959% din capitalul social al Rompetrol Rafinare. </w:t>
            </w:r>
          </w:p>
          <w:p w14:paraId="3B38ADA8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086ADF80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070CE056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/>
                <w:sz w:val="18"/>
                <w:szCs w:val="18"/>
                <w:lang w:val="ro-RO"/>
              </w:rPr>
              <w:t>2. Care sunt investițiile aprobate până în acest moment în cadrul fondului de investiții în sectorul energetic estimat până la 1 miliard de dolari în 7 ani, potrivit memorandumului de înțelegere?</w:t>
            </w:r>
          </w:p>
          <w:p w14:paraId="1406E483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677941F1" w14:textId="6A5F5E75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Fondul de Investiții în Energie Kazah-Român a fost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constituit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în Noiembrie 2018 de 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tre KMG International şi Societatea de Administrare a Participaţiilor în Energie, obiectivul principal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strategic al acestuia urmărind dezvoltarea de proiecte energetice în România. Structura acționariatului este KMGI - 80% și statul român - 20%, prin SAPE.</w:t>
            </w:r>
          </w:p>
          <w:p w14:paraId="31E397EA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0347ABED" w14:textId="466EF89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Fondul este construit având la bază o politică de investiții transparentă, cu criterii și mecanisme de evaluare clare a proiectelor, ambele părți având posibilități egale de a propune proiecte spre finanțare. </w:t>
            </w:r>
          </w:p>
          <w:p w14:paraId="6F9B543F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34FBFB16" w14:textId="4F5AB9D6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prezent, nivelul total al investițiilor aprobate de Fond pentru realizarea de proiecte energetice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Romania se ridică la 31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1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milioane USD. </w:t>
            </w:r>
          </w:p>
          <w:p w14:paraId="41DC51AF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3C36867C" w14:textId="74BC74E5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Investi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iile vizeaz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construcția unei noi centrale de cogenerare pe plaforma Midia, dezvoltarea unei 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ele de distribu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 carburan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i, modernizarea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construc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ia de noi instala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 la rafin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ria Petromidia 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vodari. Aceasta este parte a Rompetrol Rafinare – care operează şi rafinăria Vega Ploieşti şi divizia de petrochimie - unicul producător intern de polimeri, fiind deţinută în principal de KMG International (54,63% - direct şi indirect) şi Statul Român, prin Ministerul Energiei (44,7%).</w:t>
            </w:r>
          </w:p>
          <w:p w14:paraId="3C0521EA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1ECB233F" w14:textId="3DECD0E1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Cel mai amplu proiect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l reprezint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construc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ia p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2023 a unei noi centrale în cogenerare la Midia, cu rol major în stabilizarea producţiei şi a distribuţiei de energie electrică în regiunea Dobrogea, prin asigurarea necesarului de energiei al platformei, dar şi prin injectarea în sistemului naţional a surplusului de energie electrică. Investiția totală a fondului în acest proiect se ridică la circa 148 milioane USD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.</w:t>
            </w:r>
          </w:p>
          <w:p w14:paraId="7213EE18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01A1F021" w14:textId="54865924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cursul lui 2020 a fost selectat contractorul general al proiectului, lucrările urmând să înceapă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luna martie a acestui an, dupa finalizarea unor etape pregătitoare, precum studiu geotehnic și obținerea/ actualizarea unor permise/autorizații specifice.</w:t>
            </w:r>
          </w:p>
          <w:p w14:paraId="3C85DA8F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761E7F1B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lastRenderedPageBreak/>
              <w:t>Noua unitate de producere combinată de energie electrică și termică va funcționa cu gaze naturale drept combustibil principal si va produce aproximativ 80 MW energie electrică – din care circa 60-70 MW pentru acoperirea integrală a necesarului de energie electrică al platformei Petromidia, abur tehnologic de până la 180 tone/oră,  plus necesarul de apă caldă pentru sistemul de încălzire al orașului Năvodari – până la 20 MWt/oră.</w:t>
            </w:r>
          </w:p>
          <w:p w14:paraId="0AFF2E57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7AA17912" w14:textId="20B938D8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Un alt proiect important vizeaz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dezvoltarea unei 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ele de 84 benzinării în România p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2023, care vor comercializa exclusiv carburan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 auto produ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de rafin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ria Petromidia 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vodari. Acestea vor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asigura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o consolidare a pie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ei de profil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a aprovizion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rii cu carburan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i,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sus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nd at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 o cre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tere a ven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turilor 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tre bugetele locale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centrale, 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crearea a peste 1.000 de noi locuri de muncă, peste 5.000 de persoane implicate în diverse faze de dezvoltare (design, execuție, construcție) și peste 1.200 parteneri comerciali. Valoarea total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a investi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este estimat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la circa 12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0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milioane USD.</w:t>
            </w:r>
          </w:p>
          <w:p w14:paraId="1FAEB3F5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0C3A80C5" w14:textId="4A3BA1AB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prezent, 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eaua se ridic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la 30 de benzin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rii, din care 10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unități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au fost finalizate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deschi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s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cursul anului trecut. </w:t>
            </w:r>
          </w:p>
          <w:p w14:paraId="3B6AB2F9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0760D726" w14:textId="787282A3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Alte doua proiecte au fost aprobate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cursul anului trecut, acestea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urmărind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modernizarea rafin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riei Petrom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dia, dar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consolidarea unicului produc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tor de polimeri (materi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a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prim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din care se ob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in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și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produsele medicale de protec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 precum m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ti sanitare şi chirugicale de tip FFP1 şi FFP2, accesorii medicale – bonete, combinezoane, etc). </w:t>
            </w:r>
          </w:p>
          <w:p w14:paraId="292A745E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5CBF1064" w14:textId="6996461D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Valoarea acestor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a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este de 43 milioane USD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constau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construc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ia unei instala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 de deparafinare pe platforma Petromidia, care va permite rafin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riei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mbun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irea procesului de ob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inere a carburan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ilor diesel pe perioad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de iarn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o cre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tere a produc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iei de combustibil special pentru avia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ie,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dar și 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majorarea cu peste 30% a produc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iei de polimeri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,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prin conversia instala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iei de polietilene de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nalt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densitate (HDPE)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ntr-o instala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 de polipropilen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(PP).</w:t>
            </w:r>
          </w:p>
          <w:p w14:paraId="28E4A8CB" w14:textId="715A574D" w:rsidR="00E96CB0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672C2CC4" w14:textId="14393C83" w:rsidR="00E96CB0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/>
                <w:sz w:val="18"/>
                <w:szCs w:val="18"/>
                <w:lang w:val="ro-RO"/>
              </w:rPr>
            </w:pPr>
            <w:r w:rsidRPr="00CB4332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Termenul estimat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pentru </w:t>
            </w:r>
            <w:r w:rsidRPr="00CB4332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finalizare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a</w:t>
            </w:r>
            <w:r w:rsidRPr="00CB4332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cel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or</w:t>
            </w:r>
            <w:r w:rsidRPr="00CB4332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dou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CB4332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proiecte este 2022.</w:t>
            </w:r>
            <w:r w:rsidRPr="00FA065F">
              <w:rPr>
                <w:rFonts w:ascii="Verdana" w:hAnsi="Verdana" w:cs="Calibri"/>
                <w:b/>
                <w:sz w:val="18"/>
                <w:szCs w:val="18"/>
                <w:lang w:val="ro-RO"/>
              </w:rPr>
              <w:t xml:space="preserve"> </w:t>
            </w:r>
          </w:p>
          <w:p w14:paraId="2BCB8E8F" w14:textId="77777777" w:rsidR="00E96CB0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/>
                <w:sz w:val="18"/>
                <w:szCs w:val="18"/>
                <w:lang w:val="ro-RO"/>
              </w:rPr>
            </w:pPr>
          </w:p>
          <w:p w14:paraId="24BE3DD0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/>
                <w:sz w:val="18"/>
                <w:szCs w:val="18"/>
                <w:lang w:val="ro-RO"/>
              </w:rPr>
              <w:t>3. Care sunt investițiile realizate efectiv până în acest moment în cadrul fondului de investiții în sectorul energetic estimat până la 1 miliard de dolari în 7 ani, potrivit memorandumului de înțelegere? (...)"</w:t>
            </w:r>
          </w:p>
          <w:p w14:paraId="3156098A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4CB8B6B8" w14:textId="202B3115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Toate aceste proiecte sunt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diverse faze de execu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ie. </w:t>
            </w:r>
          </w:p>
          <w:p w14:paraId="65468489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5D5777D9" w14:textId="5CF873D1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De exemplu,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cazul construc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iei centralei în cogenerare la Midia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,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sunt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de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s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f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ura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e o serie de etape premerg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toare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nceperii propriu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-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zise a proiectului – preg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tirea terenului, studiu geotehnic,  obținerea/actualizarea unor permise/autorizații specifice. Investi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ia este una de tip brownfield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va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integra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activele UT Midia.</w:t>
            </w:r>
          </w:p>
          <w:p w14:paraId="7F9DB83D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60B1F864" w14:textId="2FCA48B2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ceea ce prive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te de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z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voltarea re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elei de benzin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rii, Fondul de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ine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opereaz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sub brandul Rompetrol un num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 de 30 de sta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ii.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acela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i timp, sunt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derulare alte lucr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 pentru noi sta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ii, de la analize de oportunitate, identificare loca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ii/terenuri viabile, ob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inere autoriza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/avize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, p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â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 la lucr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 efective de construc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ie.</w:t>
            </w:r>
          </w:p>
          <w:p w14:paraId="2692F477" w14:textId="77777777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</w:p>
          <w:p w14:paraId="4798CB8C" w14:textId="12432606" w:rsidR="00E96CB0" w:rsidRPr="00FA065F" w:rsidRDefault="00E96CB0" w:rsidP="00FA065F">
            <w:pPr>
              <w:tabs>
                <w:tab w:val="left" w:pos="426"/>
              </w:tabs>
              <w:jc w:val="both"/>
              <w:rPr>
                <w:rFonts w:ascii="Verdana" w:hAnsi="Verdana" w:cs="Calibri"/>
                <w:bCs/>
                <w:sz w:val="18"/>
                <w:szCs w:val="18"/>
                <w:lang w:val="ro-RO"/>
              </w:rPr>
            </w:pP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n cazul celor 2 proiecte - modernizarea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ș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 construc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ia de noi instala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ț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ii la rafin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ria Petromidia N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ă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 xml:space="preserve">vodari, sunt </w:t>
            </w:r>
            <w:r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î</w:t>
            </w:r>
            <w:r w:rsidRPr="00FA065F">
              <w:rPr>
                <w:rFonts w:ascii="Verdana" w:hAnsi="Verdana" w:cs="Calibri"/>
                <w:bCs/>
                <w:sz w:val="18"/>
                <w:szCs w:val="18"/>
                <w:lang w:val="ro-RO"/>
              </w:rPr>
              <w:t>n lucru proiectele tehnice, basic design/basic engineering.</w:t>
            </w:r>
          </w:p>
        </w:tc>
      </w:tr>
    </w:tbl>
    <w:p w14:paraId="7B1201E3" w14:textId="77777777" w:rsidR="00F422B3" w:rsidRPr="00DD13EF" w:rsidRDefault="00F422B3" w:rsidP="00582994">
      <w:pPr>
        <w:pStyle w:val="Listparagraf"/>
        <w:widowControl w:val="0"/>
        <w:autoSpaceDE w:val="0"/>
        <w:autoSpaceDN w:val="0"/>
        <w:adjustRightInd w:val="0"/>
        <w:spacing w:after="200"/>
        <w:ind w:left="0" w:right="42"/>
        <w:jc w:val="both"/>
        <w:rPr>
          <w:rFonts w:ascii="Verdana" w:hAnsi="Verdana" w:cs="Calibri"/>
          <w:sz w:val="20"/>
          <w:szCs w:val="20"/>
        </w:rPr>
      </w:pPr>
    </w:p>
    <w:sectPr w:rsidR="00F422B3" w:rsidRPr="00DD13EF" w:rsidSect="00E220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76" w:right="720" w:bottom="1276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A8CC8" w14:textId="77777777" w:rsidR="00366461" w:rsidRDefault="00366461" w:rsidP="00F61C82">
      <w:pPr>
        <w:spacing w:after="0" w:line="240" w:lineRule="auto"/>
      </w:pPr>
      <w:r>
        <w:separator/>
      </w:r>
    </w:p>
  </w:endnote>
  <w:endnote w:type="continuationSeparator" w:id="0">
    <w:p w14:paraId="557AE142" w14:textId="77777777" w:rsidR="00366461" w:rsidRDefault="00366461" w:rsidP="00F6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6977D" w14:textId="77777777" w:rsidR="007B1EFA" w:rsidRDefault="007B1EF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9BA64" w14:textId="77777777" w:rsidR="00F61C82" w:rsidRPr="000C0760" w:rsidRDefault="00F61C82" w:rsidP="000C076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01FE4" w14:textId="77777777" w:rsidR="007B1EFA" w:rsidRDefault="007B1EF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E4C2E" w14:textId="77777777" w:rsidR="00366461" w:rsidRDefault="00366461" w:rsidP="00F61C82">
      <w:pPr>
        <w:spacing w:after="0" w:line="240" w:lineRule="auto"/>
      </w:pPr>
      <w:r>
        <w:separator/>
      </w:r>
    </w:p>
  </w:footnote>
  <w:footnote w:type="continuationSeparator" w:id="0">
    <w:p w14:paraId="1890B67C" w14:textId="77777777" w:rsidR="00366461" w:rsidRDefault="00366461" w:rsidP="00F6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DB0BA" w14:textId="77777777" w:rsidR="007B1EFA" w:rsidRDefault="007B1EF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gril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51"/>
    </w:tblGrid>
    <w:tr w:rsidR="000C0760" w:rsidRPr="00491FDB" w14:paraId="2BD78F4F" w14:textId="77777777" w:rsidTr="000C0760">
      <w:trPr>
        <w:trHeight w:val="1149"/>
        <w:jc w:val="center"/>
      </w:trPr>
      <w:tc>
        <w:tcPr>
          <w:tcW w:w="8551" w:type="dxa"/>
          <w:vAlign w:val="center"/>
        </w:tcPr>
        <w:p w14:paraId="67D9DBF1" w14:textId="77777777" w:rsidR="000C0760" w:rsidRPr="002B4CF8" w:rsidRDefault="000C0760" w:rsidP="000C0760">
          <w:pPr>
            <w:pStyle w:val="Antet"/>
            <w:tabs>
              <w:tab w:val="clear" w:pos="4680"/>
              <w:tab w:val="clear" w:pos="9360"/>
              <w:tab w:val="center" w:pos="5398"/>
              <w:tab w:val="right" w:pos="9496"/>
            </w:tabs>
            <w:ind w:right="-1304"/>
            <w:rPr>
              <w:rFonts w:ascii="Century Gothic" w:hAnsi="Century Gothic"/>
            </w:rPr>
          </w:pPr>
          <w:r>
            <w:rPr>
              <w:noProof/>
            </w:rPr>
            <w:t xml:space="preserve">                                                                                                                    </w:t>
          </w:r>
          <w:r w:rsidR="00197D8C">
            <w:rPr>
              <w:noProof/>
            </w:rPr>
            <w:t xml:space="preserve"> </w:t>
          </w:r>
          <w:r>
            <w:rPr>
              <w:noProof/>
            </w:rPr>
            <w:t xml:space="preserve">              </w:t>
          </w:r>
          <w:r>
            <w:rPr>
              <w:noProof/>
            </w:rPr>
            <w:drawing>
              <wp:inline distT="0" distB="0" distL="0" distR="0" wp14:anchorId="0E9E6015" wp14:editId="6CD8B595">
                <wp:extent cx="1478694" cy="1478694"/>
                <wp:effectExtent l="0" t="0" r="7620" b="762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93" cy="151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A18C9D" w14:textId="77777777" w:rsidR="00491FDB" w:rsidRDefault="00491FDB" w:rsidP="005F6900">
    <w:pPr>
      <w:spacing w:after="0" w:line="240" w:lineRule="auto"/>
      <w:jc w:val="right"/>
      <w:rPr>
        <w:rFonts w:ascii="Verdana" w:hAnsi="Verdana" w:cs="Arial"/>
        <w:b/>
        <w:bCs/>
        <w:iCs/>
        <w:color w:val="000000"/>
        <w:sz w:val="14"/>
        <w:szCs w:val="16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036FB" w14:textId="77777777" w:rsidR="007B1EFA" w:rsidRDefault="007B1EF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65021"/>
    <w:multiLevelType w:val="hybridMultilevel"/>
    <w:tmpl w:val="752E09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073B14"/>
    <w:multiLevelType w:val="hybridMultilevel"/>
    <w:tmpl w:val="585A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B3DB4"/>
    <w:multiLevelType w:val="hybridMultilevel"/>
    <w:tmpl w:val="D91C87C0"/>
    <w:lvl w:ilvl="0" w:tplc="A2A6300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274DB"/>
    <w:multiLevelType w:val="hybridMultilevel"/>
    <w:tmpl w:val="582C2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113EC"/>
    <w:multiLevelType w:val="hybridMultilevel"/>
    <w:tmpl w:val="09F2D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D0B0B"/>
    <w:multiLevelType w:val="hybridMultilevel"/>
    <w:tmpl w:val="C3D44AE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5DB14C7"/>
    <w:multiLevelType w:val="hybridMultilevel"/>
    <w:tmpl w:val="6968263A"/>
    <w:lvl w:ilvl="0" w:tplc="5BCABA1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82"/>
    <w:rsid w:val="00005F5B"/>
    <w:rsid w:val="0002276E"/>
    <w:rsid w:val="000249CC"/>
    <w:rsid w:val="0004386A"/>
    <w:rsid w:val="00046959"/>
    <w:rsid w:val="00097AD2"/>
    <w:rsid w:val="000A4F95"/>
    <w:rsid w:val="000B033F"/>
    <w:rsid w:val="000B59AE"/>
    <w:rsid w:val="000C0760"/>
    <w:rsid w:val="000D6D2E"/>
    <w:rsid w:val="000F000F"/>
    <w:rsid w:val="00106DBA"/>
    <w:rsid w:val="001254D9"/>
    <w:rsid w:val="00141E2C"/>
    <w:rsid w:val="001457CB"/>
    <w:rsid w:val="00150251"/>
    <w:rsid w:val="00157496"/>
    <w:rsid w:val="00170FEB"/>
    <w:rsid w:val="00197D8C"/>
    <w:rsid w:val="001C49DD"/>
    <w:rsid w:val="001D116A"/>
    <w:rsid w:val="001D1DE8"/>
    <w:rsid w:val="001E5BD8"/>
    <w:rsid w:val="001E6AFE"/>
    <w:rsid w:val="00200FC2"/>
    <w:rsid w:val="002035FF"/>
    <w:rsid w:val="00205211"/>
    <w:rsid w:val="00212282"/>
    <w:rsid w:val="002226B5"/>
    <w:rsid w:val="00224FBA"/>
    <w:rsid w:val="00245D7D"/>
    <w:rsid w:val="0028249F"/>
    <w:rsid w:val="002B4CF8"/>
    <w:rsid w:val="002C21C2"/>
    <w:rsid w:val="002C6632"/>
    <w:rsid w:val="002D08BC"/>
    <w:rsid w:val="002D7B44"/>
    <w:rsid w:val="002F3654"/>
    <w:rsid w:val="00303402"/>
    <w:rsid w:val="0033024F"/>
    <w:rsid w:val="00333122"/>
    <w:rsid w:val="003367AD"/>
    <w:rsid w:val="00353DF7"/>
    <w:rsid w:val="0036147B"/>
    <w:rsid w:val="00366461"/>
    <w:rsid w:val="0037153E"/>
    <w:rsid w:val="0038158F"/>
    <w:rsid w:val="00385FFA"/>
    <w:rsid w:val="003C2E61"/>
    <w:rsid w:val="003C43B5"/>
    <w:rsid w:val="003D07DA"/>
    <w:rsid w:val="003E0A8F"/>
    <w:rsid w:val="003E7840"/>
    <w:rsid w:val="003F05DC"/>
    <w:rsid w:val="003F2765"/>
    <w:rsid w:val="00404301"/>
    <w:rsid w:val="00415D32"/>
    <w:rsid w:val="00423148"/>
    <w:rsid w:val="00427A3C"/>
    <w:rsid w:val="00432C47"/>
    <w:rsid w:val="00444D88"/>
    <w:rsid w:val="00487C98"/>
    <w:rsid w:val="00491FDB"/>
    <w:rsid w:val="00494D04"/>
    <w:rsid w:val="004A7D4A"/>
    <w:rsid w:val="004B2801"/>
    <w:rsid w:val="004D07C7"/>
    <w:rsid w:val="004D733C"/>
    <w:rsid w:val="004E2496"/>
    <w:rsid w:val="004F28A0"/>
    <w:rsid w:val="00513857"/>
    <w:rsid w:val="00515934"/>
    <w:rsid w:val="00532C5C"/>
    <w:rsid w:val="005349F5"/>
    <w:rsid w:val="005470FE"/>
    <w:rsid w:val="00557290"/>
    <w:rsid w:val="00566295"/>
    <w:rsid w:val="005818B1"/>
    <w:rsid w:val="00582994"/>
    <w:rsid w:val="00592FE7"/>
    <w:rsid w:val="00596958"/>
    <w:rsid w:val="005A3377"/>
    <w:rsid w:val="005A7971"/>
    <w:rsid w:val="005A7D7D"/>
    <w:rsid w:val="005B0EE7"/>
    <w:rsid w:val="005D7A3C"/>
    <w:rsid w:val="005F4D9A"/>
    <w:rsid w:val="005F6900"/>
    <w:rsid w:val="00627D3F"/>
    <w:rsid w:val="00652F76"/>
    <w:rsid w:val="00656CBD"/>
    <w:rsid w:val="006663E8"/>
    <w:rsid w:val="006717EC"/>
    <w:rsid w:val="006723AC"/>
    <w:rsid w:val="00676553"/>
    <w:rsid w:val="00695C02"/>
    <w:rsid w:val="006A003B"/>
    <w:rsid w:val="006D3778"/>
    <w:rsid w:val="006E20B2"/>
    <w:rsid w:val="0070771B"/>
    <w:rsid w:val="0071028B"/>
    <w:rsid w:val="0071416F"/>
    <w:rsid w:val="00722D22"/>
    <w:rsid w:val="007235B1"/>
    <w:rsid w:val="007266D3"/>
    <w:rsid w:val="00727F81"/>
    <w:rsid w:val="007332E7"/>
    <w:rsid w:val="00741D84"/>
    <w:rsid w:val="00754CD4"/>
    <w:rsid w:val="0078258F"/>
    <w:rsid w:val="00783E8D"/>
    <w:rsid w:val="00786D33"/>
    <w:rsid w:val="00795B05"/>
    <w:rsid w:val="007977D8"/>
    <w:rsid w:val="007A0E7F"/>
    <w:rsid w:val="007A6617"/>
    <w:rsid w:val="007A741F"/>
    <w:rsid w:val="007B0D77"/>
    <w:rsid w:val="007B1EFA"/>
    <w:rsid w:val="007B2257"/>
    <w:rsid w:val="007C3A73"/>
    <w:rsid w:val="007D740F"/>
    <w:rsid w:val="007F6F17"/>
    <w:rsid w:val="007F70E6"/>
    <w:rsid w:val="008018BC"/>
    <w:rsid w:val="0080277C"/>
    <w:rsid w:val="00802E8E"/>
    <w:rsid w:val="008131B3"/>
    <w:rsid w:val="00823853"/>
    <w:rsid w:val="00825F5D"/>
    <w:rsid w:val="00834595"/>
    <w:rsid w:val="0084699D"/>
    <w:rsid w:val="008749BC"/>
    <w:rsid w:val="00875FC8"/>
    <w:rsid w:val="00882859"/>
    <w:rsid w:val="00897EA3"/>
    <w:rsid w:val="008B24B9"/>
    <w:rsid w:val="008C3997"/>
    <w:rsid w:val="008D2069"/>
    <w:rsid w:val="008D505C"/>
    <w:rsid w:val="008E2F33"/>
    <w:rsid w:val="009054E0"/>
    <w:rsid w:val="00906586"/>
    <w:rsid w:val="0090665B"/>
    <w:rsid w:val="00941DF1"/>
    <w:rsid w:val="009A075C"/>
    <w:rsid w:val="009D76AF"/>
    <w:rsid w:val="009F2E62"/>
    <w:rsid w:val="00A0244B"/>
    <w:rsid w:val="00A41CD2"/>
    <w:rsid w:val="00A5260F"/>
    <w:rsid w:val="00A651BA"/>
    <w:rsid w:val="00A70AE8"/>
    <w:rsid w:val="00A806FC"/>
    <w:rsid w:val="00A84507"/>
    <w:rsid w:val="00A933F8"/>
    <w:rsid w:val="00AE24A3"/>
    <w:rsid w:val="00B60A37"/>
    <w:rsid w:val="00B7031B"/>
    <w:rsid w:val="00B8328B"/>
    <w:rsid w:val="00B95EEA"/>
    <w:rsid w:val="00BB1AD5"/>
    <w:rsid w:val="00BC556A"/>
    <w:rsid w:val="00BE57C5"/>
    <w:rsid w:val="00BF7DCC"/>
    <w:rsid w:val="00C24091"/>
    <w:rsid w:val="00C467AB"/>
    <w:rsid w:val="00C503FB"/>
    <w:rsid w:val="00C5360F"/>
    <w:rsid w:val="00C63DB0"/>
    <w:rsid w:val="00C66A59"/>
    <w:rsid w:val="00C7167E"/>
    <w:rsid w:val="00C91387"/>
    <w:rsid w:val="00C9456C"/>
    <w:rsid w:val="00CA4C8A"/>
    <w:rsid w:val="00CB4332"/>
    <w:rsid w:val="00CB77EE"/>
    <w:rsid w:val="00CE045E"/>
    <w:rsid w:val="00CF098E"/>
    <w:rsid w:val="00CF1B78"/>
    <w:rsid w:val="00D04871"/>
    <w:rsid w:val="00D2525A"/>
    <w:rsid w:val="00D36ED1"/>
    <w:rsid w:val="00D626A3"/>
    <w:rsid w:val="00D65AF3"/>
    <w:rsid w:val="00D67277"/>
    <w:rsid w:val="00D82ECC"/>
    <w:rsid w:val="00D85122"/>
    <w:rsid w:val="00D86FD8"/>
    <w:rsid w:val="00DB0A96"/>
    <w:rsid w:val="00DB60C1"/>
    <w:rsid w:val="00DD13EF"/>
    <w:rsid w:val="00DD42E5"/>
    <w:rsid w:val="00DE4339"/>
    <w:rsid w:val="00DF1CC5"/>
    <w:rsid w:val="00E2203E"/>
    <w:rsid w:val="00E236B5"/>
    <w:rsid w:val="00E34783"/>
    <w:rsid w:val="00E35199"/>
    <w:rsid w:val="00E36229"/>
    <w:rsid w:val="00E46116"/>
    <w:rsid w:val="00E76F39"/>
    <w:rsid w:val="00E81BDD"/>
    <w:rsid w:val="00E96CB0"/>
    <w:rsid w:val="00E96EF3"/>
    <w:rsid w:val="00EB67F0"/>
    <w:rsid w:val="00EC1081"/>
    <w:rsid w:val="00EC5FBC"/>
    <w:rsid w:val="00ED2379"/>
    <w:rsid w:val="00ED5973"/>
    <w:rsid w:val="00EE2968"/>
    <w:rsid w:val="00EF0F4B"/>
    <w:rsid w:val="00F01769"/>
    <w:rsid w:val="00F058ED"/>
    <w:rsid w:val="00F07119"/>
    <w:rsid w:val="00F32C9E"/>
    <w:rsid w:val="00F41886"/>
    <w:rsid w:val="00F422B3"/>
    <w:rsid w:val="00F463D5"/>
    <w:rsid w:val="00F612D5"/>
    <w:rsid w:val="00F61C82"/>
    <w:rsid w:val="00F817A3"/>
    <w:rsid w:val="00F875F7"/>
    <w:rsid w:val="00F968BD"/>
    <w:rsid w:val="00FA065F"/>
    <w:rsid w:val="00FA39A1"/>
    <w:rsid w:val="00FB1B91"/>
    <w:rsid w:val="00FB5C66"/>
    <w:rsid w:val="00FC0520"/>
    <w:rsid w:val="00FD4DBD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0D9A9"/>
  <w15:docId w15:val="{8114C446-2F53-4280-BA69-F84AD7F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6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91F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6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61C82"/>
  </w:style>
  <w:style w:type="paragraph" w:styleId="Subsol">
    <w:name w:val="footer"/>
    <w:basedOn w:val="Normal"/>
    <w:link w:val="SubsolCaracter"/>
    <w:uiPriority w:val="99"/>
    <w:unhideWhenUsed/>
    <w:rsid w:val="00F6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61C82"/>
  </w:style>
  <w:style w:type="table" w:styleId="Tabelgril">
    <w:name w:val="Table Grid"/>
    <w:basedOn w:val="TabelNormal"/>
    <w:uiPriority w:val="59"/>
    <w:rsid w:val="00F6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6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1C82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F6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Hyperlink">
    <w:name w:val="Hyperlink"/>
    <w:basedOn w:val="Fontdeparagrafimplicit"/>
    <w:uiPriority w:val="99"/>
    <w:unhideWhenUsed/>
    <w:rsid w:val="00353DF7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8B24B9"/>
    <w:pPr>
      <w:spacing w:after="0" w:line="240" w:lineRule="auto"/>
    </w:p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91F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f">
    <w:name w:val="List Paragraph"/>
    <w:basedOn w:val="Normal"/>
    <w:uiPriority w:val="34"/>
    <w:qFormat/>
    <w:rsid w:val="00427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99"/>
    <w:unhideWhenUsed/>
    <w:rsid w:val="00427A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27A3C"/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uiPriority w:val="20"/>
    <w:qFormat/>
    <w:rsid w:val="0078258F"/>
    <w:rPr>
      <w:rFonts w:cs="Times New Roman"/>
      <w:i/>
    </w:rPr>
  </w:style>
  <w:style w:type="character" w:styleId="Robust">
    <w:name w:val="Strong"/>
    <w:basedOn w:val="Fontdeparagrafimplicit"/>
    <w:uiPriority w:val="22"/>
    <w:qFormat/>
    <w:rsid w:val="002035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268">
    <w:name w:val="paragraph-268"/>
    <w:basedOn w:val="Normal"/>
    <w:rsid w:val="007C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text-270">
    <w:name w:val="highlightedtext-270"/>
    <w:basedOn w:val="Fontdeparagrafimplicit"/>
    <w:rsid w:val="007C3A73"/>
  </w:style>
  <w:style w:type="paragraph" w:styleId="Textsimplu">
    <w:name w:val="Plain Text"/>
    <w:basedOn w:val="Normal"/>
    <w:link w:val="TextsimpluCaracter"/>
    <w:uiPriority w:val="99"/>
    <w:semiHidden/>
    <w:unhideWhenUsed/>
    <w:rsid w:val="00170FEB"/>
    <w:pPr>
      <w:spacing w:after="0" w:line="240" w:lineRule="auto"/>
    </w:pPr>
    <w:rPr>
      <w:rFonts w:ascii="Verdana" w:hAnsi="Verdana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170FEB"/>
    <w:rPr>
      <w:rFonts w:ascii="Verdana" w:hAnsi="Verdan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891">
          <w:marLeft w:val="0"/>
          <w:marRight w:val="75"/>
          <w:marTop w:val="0"/>
          <w:marBottom w:val="150"/>
          <w:divBdr>
            <w:top w:val="single" w:sz="6" w:space="4" w:color="9BBBCD"/>
            <w:left w:val="single" w:sz="6" w:space="4" w:color="9BBBCD"/>
            <w:bottom w:val="single" w:sz="6" w:space="4" w:color="9BBBCD"/>
            <w:right w:val="single" w:sz="6" w:space="4" w:color="9BBBCD"/>
          </w:divBdr>
        </w:div>
        <w:div w:id="372466367">
          <w:marLeft w:val="0"/>
          <w:marRight w:val="75"/>
          <w:marTop w:val="0"/>
          <w:marBottom w:val="150"/>
          <w:divBdr>
            <w:top w:val="single" w:sz="6" w:space="4" w:color="9BBBCD"/>
            <w:left w:val="single" w:sz="6" w:space="4" w:color="9BBBCD"/>
            <w:bottom w:val="single" w:sz="6" w:space="4" w:color="9BBBCD"/>
            <w:right w:val="single" w:sz="6" w:space="4" w:color="9BBBCD"/>
          </w:divBdr>
        </w:div>
        <w:div w:id="1635331098">
          <w:marLeft w:val="0"/>
          <w:marRight w:val="75"/>
          <w:marTop w:val="0"/>
          <w:marBottom w:val="150"/>
          <w:divBdr>
            <w:top w:val="single" w:sz="6" w:space="4" w:color="9BBBCD"/>
            <w:left w:val="single" w:sz="6" w:space="4" w:color="9BBBCD"/>
            <w:bottom w:val="single" w:sz="6" w:space="4" w:color="9BBBCD"/>
            <w:right w:val="single" w:sz="6" w:space="4" w:color="9BBBCD"/>
          </w:divBdr>
        </w:div>
        <w:div w:id="2064672030">
          <w:marLeft w:val="0"/>
          <w:marRight w:val="75"/>
          <w:marTop w:val="0"/>
          <w:marBottom w:val="150"/>
          <w:divBdr>
            <w:top w:val="single" w:sz="6" w:space="4" w:color="F7F7F7"/>
            <w:left w:val="single" w:sz="6" w:space="4" w:color="F7F7F7"/>
            <w:bottom w:val="single" w:sz="6" w:space="4" w:color="F7F7F7"/>
            <w:right w:val="single" w:sz="6" w:space="4" w:color="F7F7F7"/>
          </w:divBdr>
        </w:div>
      </w:divsChild>
    </w:div>
    <w:div w:id="1864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9ADA5C7EA2944890BEE7AD7844155" ma:contentTypeVersion="3" ma:contentTypeDescription="Create a new document." ma:contentTypeScope="" ma:versionID="1bd15c04148a7411e0c6d1115b93dfd1">
  <xsd:schema xmlns:xsd="http://www.w3.org/2001/XMLSchema" xmlns:xs="http://www.w3.org/2001/XMLSchema" xmlns:p="http://schemas.microsoft.com/office/2006/metadata/properties" xmlns:ns2="b0653ba2-5015-4b02-a70e-0054ceed07fa" targetNamespace="http://schemas.microsoft.com/office/2006/metadata/properties" ma:root="true" ma:fieldsID="9a092a744ca1506c120f1d7a3d2dd242" ns2:_="">
    <xsd:import namespace="b0653ba2-5015-4b02-a70e-0054ceed0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53ba2-5015-4b02-a70e-0054ceed0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F0E2-1F41-4782-9F34-2098D964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53ba2-5015-4b02-a70e-0054ceed0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76C8E-0101-4C78-B22F-30C5A7913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07727-0BCA-493B-A1D1-C51DD4944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B051C-61CE-4AD2-903E-A95F7FAF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928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Ciocan, Iulian</cp:lastModifiedBy>
  <cp:revision>4</cp:revision>
  <cp:lastPrinted>2019-11-21T09:56:00Z</cp:lastPrinted>
  <dcterms:created xsi:type="dcterms:W3CDTF">2021-01-21T14:54:00Z</dcterms:created>
  <dcterms:modified xsi:type="dcterms:W3CDTF">2021-01-21T15:04:00Z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0x0101001069ADA5C7EA2944890BEE7AD7844155</vt:lpwstr>
  </property>
</Properties>
</file>