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AF" w:rsidRPr="00B10D80" w:rsidRDefault="0030440A" w:rsidP="00B10D8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color w:val="000000"/>
          <w:sz w:val="28"/>
          <w:szCs w:val="28"/>
        </w:rPr>
      </w:pPr>
      <w:r w:rsidRPr="00B10D80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9E4C8C" wp14:editId="64EB5E1D">
                <wp:simplePos x="0" y="0"/>
                <wp:positionH relativeFrom="column">
                  <wp:posOffset>-87630</wp:posOffset>
                </wp:positionH>
                <wp:positionV relativeFrom="paragraph">
                  <wp:posOffset>-85724</wp:posOffset>
                </wp:positionV>
                <wp:extent cx="3767455" cy="45719"/>
                <wp:effectExtent l="0" t="19050" r="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767455" cy="4571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AF" w:rsidRDefault="001F0AAF" w:rsidP="00FB693B">
                            <w:pPr>
                              <w:tabs>
                                <w:tab w:val="left" w:pos="6187"/>
                              </w:tabs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</w:rPr>
                            </w:pPr>
                          </w:p>
                          <w:p w:rsidR="001F0AAF" w:rsidRDefault="001F0AAF" w:rsidP="00FB693B">
                            <w:pPr>
                              <w:pStyle w:val="Heading3"/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rPr>
                                <w:rFonts w:ascii="Times New Roman" w:hAnsi="Times New Roman" w:cs="Times New Roman"/>
                                <w:position w:val="-1"/>
                                <w:sz w:val="26"/>
                                <w:szCs w:val="26"/>
                              </w:rPr>
                            </w:pPr>
                          </w:p>
                          <w:p w:rsidR="001F0AAF" w:rsidRDefault="001F0AAF" w:rsidP="00FB693B">
                            <w:pPr>
                              <w:pStyle w:val="Heading3"/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9pt;margin-top:-6.75pt;width:296.65pt;height:3.6pt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" filled="f" stroked="f">
                <v:textbox>
                  <w:txbxContent>
                    <w:p w:rsidR="001F0AAF" w:rsidRDefault="001F0AAF" w:rsidP="00FB693B">
                      <w:pPr>
                        <w:tabs>
                          <w:tab w:val="left" w:pos="6187"/>
                        </w:tabs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</w:rPr>
                      </w:pPr>
                    </w:p>
                    <w:p w:rsidR="001F0AAF" w:rsidRDefault="001F0AAF" w:rsidP="00FB693B">
                      <w:pPr>
                        <w:pStyle w:val="Heading3"/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rPr>
                          <w:rFonts w:ascii="Times New Roman" w:hAnsi="Times New Roman" w:cs="Times New Roman"/>
                          <w:position w:val="-1"/>
                          <w:sz w:val="26"/>
                          <w:szCs w:val="26"/>
                        </w:rPr>
                      </w:pPr>
                    </w:p>
                    <w:p w:rsidR="001F0AAF" w:rsidRDefault="001F0AAF" w:rsidP="00FB693B">
                      <w:pPr>
                        <w:pStyle w:val="Heading3"/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0D80">
        <w:rPr>
          <w:rFonts w:ascii="Tahoma" w:hAnsi="Tahoma" w:cs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8674C6" wp14:editId="253A9B89">
                <wp:simplePos x="0" y="0"/>
                <wp:positionH relativeFrom="column">
                  <wp:posOffset>5057140</wp:posOffset>
                </wp:positionH>
                <wp:positionV relativeFrom="paragraph">
                  <wp:posOffset>-49529</wp:posOffset>
                </wp:positionV>
                <wp:extent cx="1609090" cy="15436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5436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AAF" w:rsidRDefault="001F0AAF" w:rsidP="00FB693B">
                            <w:pPr>
                              <w:suppressAutoHyphens/>
                              <w:spacing w:line="288" w:lineRule="auto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2"/>
                                <w:szCs w:val="22"/>
                              </w:rPr>
                            </w:pPr>
                          </w:p>
                          <w:p w:rsidR="001F0AAF" w:rsidRDefault="001F0AAF" w:rsidP="00FB693B">
                            <w:pPr>
                              <w:suppressAutoHyphens/>
                              <w:spacing w:after="120" w:line="312" w:lineRule="auto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398.2pt;margin-top:-3.9pt;width:126.7pt;height:12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" filled="f" stroked="f">
                <v:textbox>
                  <w:txbxContent>
                    <w:p w:rsidR="001F0AAF" w:rsidRDefault="001F0AAF" w:rsidP="00FB693B">
                      <w:pPr>
                        <w:suppressAutoHyphens/>
                        <w:spacing w:line="288" w:lineRule="auto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2"/>
                          <w:szCs w:val="22"/>
                        </w:rPr>
                      </w:pPr>
                    </w:p>
                    <w:p w:rsidR="001F0AAF" w:rsidRDefault="001F0AAF" w:rsidP="00FB693B">
                      <w:pPr>
                        <w:suppressAutoHyphens/>
                        <w:spacing w:after="120" w:line="312" w:lineRule="auto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0AAF" w:rsidRPr="00B10D80" w:rsidRDefault="001F0AAF" w:rsidP="00B10D80">
      <w:pPr>
        <w:widowControl w:val="0"/>
        <w:jc w:val="both"/>
        <w:rPr>
          <w:rFonts w:ascii="Tahoma" w:hAnsi="Tahoma" w:cs="Tahoma"/>
          <w:color w:val="000000"/>
          <w:sz w:val="28"/>
          <w:szCs w:val="28"/>
        </w:rPr>
      </w:pPr>
    </w:p>
    <w:p w:rsidR="003042B7" w:rsidRPr="003042B7" w:rsidRDefault="002370DB" w:rsidP="002370DB">
      <w:pPr>
        <w:ind w:firstLine="720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MATERIAL SINTETIC DECIZII</w:t>
      </w:r>
    </w:p>
    <w:p w:rsidR="003042B7" w:rsidRPr="003042B7" w:rsidRDefault="003042B7" w:rsidP="003042B7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ind w:firstLine="720"/>
        <w:jc w:val="both"/>
        <w:rPr>
          <w:rFonts w:ascii="Tahoma" w:eastAsia="Tahoma" w:hAnsi="Tahoma" w:cs="Tahoma"/>
          <w:sz w:val="32"/>
          <w:szCs w:val="32"/>
          <w:lang w:val="en-US"/>
        </w:rPr>
      </w:pPr>
      <w:r w:rsidRPr="003042B7">
        <w:rPr>
          <w:rFonts w:ascii="Tahoma" w:eastAsia="Tahoma" w:hAnsi="Tahoma" w:cs="Tahoma"/>
          <w:sz w:val="32"/>
          <w:szCs w:val="32"/>
        </w:rPr>
        <w:t>Ieri, la sediul Ministerului Afacerilor Interne, a avut loc ședința Grupului tehnico-științific privind gestionarea bolilor înalt contagioase pe teritoriul României. În urma acestei ședințe, a</w:t>
      </w:r>
      <w:r w:rsidR="002370DB">
        <w:rPr>
          <w:rFonts w:ascii="Tahoma" w:eastAsia="Tahoma" w:hAnsi="Tahoma" w:cs="Tahoma"/>
          <w:sz w:val="32"/>
          <w:szCs w:val="32"/>
        </w:rPr>
        <w:t>u fost</w:t>
      </w:r>
      <w:r w:rsidRPr="003042B7">
        <w:rPr>
          <w:rFonts w:ascii="Tahoma" w:eastAsia="Tahoma" w:hAnsi="Tahoma" w:cs="Tahoma"/>
          <w:sz w:val="32"/>
          <w:szCs w:val="32"/>
        </w:rPr>
        <w:t xml:space="preserve"> propus</w:t>
      </w:r>
      <w:r w:rsidR="002370DB">
        <w:rPr>
          <w:rFonts w:ascii="Tahoma" w:eastAsia="Tahoma" w:hAnsi="Tahoma" w:cs="Tahoma"/>
          <w:sz w:val="32"/>
          <w:szCs w:val="32"/>
        </w:rPr>
        <w:t>e</w:t>
      </w:r>
      <w:r w:rsidRPr="003042B7">
        <w:rPr>
          <w:rFonts w:ascii="Tahoma" w:eastAsia="Tahoma" w:hAnsi="Tahoma" w:cs="Tahoma"/>
          <w:sz w:val="32"/>
          <w:szCs w:val="32"/>
        </w:rPr>
        <w:t xml:space="preserve"> spre aprobarea CNSSU următoarele măsuri</w:t>
      </w:r>
      <w:r w:rsidRPr="003042B7">
        <w:rPr>
          <w:rFonts w:ascii="Tahoma" w:eastAsia="Tahoma" w:hAnsi="Tahoma" w:cs="Tahoma"/>
          <w:sz w:val="32"/>
          <w:szCs w:val="32"/>
          <w:lang w:val="en-US"/>
        </w:rPr>
        <w:t>:</w:t>
      </w:r>
    </w:p>
    <w:p w:rsidR="003042B7" w:rsidRPr="003042B7" w:rsidRDefault="003042B7" w:rsidP="003042B7">
      <w:pPr>
        <w:ind w:firstLine="720"/>
        <w:jc w:val="both"/>
        <w:rPr>
          <w:rFonts w:ascii="Tahoma" w:eastAsia="Tahoma" w:hAnsi="Tahoma" w:cs="Tahoma"/>
          <w:sz w:val="32"/>
          <w:szCs w:val="32"/>
          <w:lang w:val="en-US"/>
        </w:rPr>
      </w:pPr>
    </w:p>
    <w:p w:rsidR="003042B7" w:rsidRPr="003042B7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Suspendarea temporară, pentru o perioadă de 6 luni, a distribuției medicamentelor, dispozitivelor medicale și materialelor sanitare esențiale în prevenția și tratarea infecției cu COVID-19, în afara teritoriului României. Lista de medicamente, dispozitive medicale și materiale sanitare va fi stabilită de Ministerul Sănătății</w:t>
      </w:r>
      <w:r w:rsidRPr="003042B7">
        <w:rPr>
          <w:rFonts w:ascii="Tahoma" w:eastAsia="Tahoma" w:hAnsi="Tahoma" w:cs="Tahoma"/>
          <w:sz w:val="32"/>
          <w:szCs w:val="32"/>
          <w:lang w:val="en-US"/>
        </w:rPr>
        <w:t>;</w:t>
      </w:r>
    </w:p>
    <w:p w:rsidR="003042B7" w:rsidRPr="003042B7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 xml:space="preserve">Recomandarea decalării de către entitățile private, inclusiv operatorii economici cu un număr de peste 99 de angajați, a programului de lucru pentru personalul care se deplasează cu mijloacele de transport în comun. Recomandarea se aplică la nivelul municipiului București și a municipiilor reședință de județ, începând de mâine, 12 martie, până la data de 31 martie, cu posibilitatea de prelungire. </w:t>
      </w:r>
    </w:p>
    <w:p w:rsidR="003042B7" w:rsidRPr="003042B7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Pentru instituțiile publice, decalarea programului este obligatorie, în aceleași condiții menționate mai sus, în perioada 12-31 martie 2020, cu posibilitatea de prelungire. Instituțiile publice  care nu pot aplica aceste reguli, vor identifica soluții alternative pentru evitarea utilizării de către angajați a mijloacelor de transport în comun în perioadele aglomerate;</w:t>
      </w:r>
    </w:p>
    <w:p w:rsidR="003042B7" w:rsidRPr="003042B7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Restricționarea activităților culturale, științifice, artistice, religioase, sportive și de divertisment, în spații închise, cu participarea a peste 100 de persoane, până la data de 31 martie, cu posibilitatea de prelungire;</w:t>
      </w:r>
    </w:p>
    <w:p w:rsidR="003042B7" w:rsidRPr="003042B7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Sistarea activităților cu public pentru muzee. Măsura este valabilă, de asemenea, până la 31 martie 2020, cu posibilitatea de prelungire;</w:t>
      </w:r>
    </w:p>
    <w:p w:rsidR="003042B7" w:rsidRPr="007B47BE" w:rsidRDefault="003042B7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lastRenderedPageBreak/>
        <w:t>Recomandarea suspendării activității didactice din învățământul superior, până la data de 31 martie, cu posibilitatea prelungirii, dar și utilizarea unor metode dida</w:t>
      </w:r>
      <w:r w:rsidR="007B47BE">
        <w:rPr>
          <w:rFonts w:ascii="Tahoma" w:eastAsia="Tahoma" w:hAnsi="Tahoma" w:cs="Tahoma"/>
          <w:sz w:val="32"/>
          <w:szCs w:val="32"/>
        </w:rPr>
        <w:t>ctice alternative de învățământ</w:t>
      </w:r>
      <w:r w:rsidR="007B47BE">
        <w:rPr>
          <w:rFonts w:ascii="Tahoma" w:eastAsia="Tahoma" w:hAnsi="Tahoma" w:cs="Tahoma"/>
          <w:sz w:val="32"/>
          <w:szCs w:val="32"/>
          <w:lang w:val="en-US"/>
        </w:rPr>
        <w:t>;</w:t>
      </w:r>
    </w:p>
    <w:p w:rsidR="007B47BE" w:rsidRPr="007B47BE" w:rsidRDefault="007B47BE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  <w:lang w:val="en-US"/>
        </w:rPr>
        <w:t xml:space="preserve">La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nevoie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,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structurile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poliției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și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jandarmeriei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asigură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măsurile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de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ordine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publică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și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însoțire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necesare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, inclusive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fluidizarea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circulației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rutiere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pe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traseele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de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deplasare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cu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ocazia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transporturilor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realizate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pentru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gestionarea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tuturor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situațiilor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ce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vizează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fenomenul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coronavirus;</w:t>
      </w:r>
    </w:p>
    <w:p w:rsidR="007B47BE" w:rsidRPr="003042B7" w:rsidRDefault="002370DB" w:rsidP="003042B7">
      <w:pPr>
        <w:numPr>
          <w:ilvl w:val="0"/>
          <w:numId w:val="2"/>
        </w:numPr>
        <w:spacing w:line="276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proofErr w:type="spellStart"/>
      <w:proofErr w:type="gramStart"/>
      <w:r>
        <w:rPr>
          <w:rFonts w:ascii="Tahoma" w:eastAsia="Tahoma" w:hAnsi="Tahoma" w:cs="Tahoma"/>
          <w:sz w:val="32"/>
          <w:szCs w:val="32"/>
          <w:lang w:val="en-US"/>
        </w:rPr>
        <w:t>în</w:t>
      </w:r>
      <w:proofErr w:type="spellEnd"/>
      <w:proofErr w:type="gramEnd"/>
      <w:r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caz</w:t>
      </w:r>
      <w:proofErr w:type="spellEnd"/>
      <w:r>
        <w:rPr>
          <w:rFonts w:ascii="Tahoma" w:eastAsia="Tahoma" w:hAnsi="Tahoma" w:cs="Tahoma"/>
          <w:sz w:val="32"/>
          <w:szCs w:val="32"/>
          <w:lang w:val="en-US"/>
        </w:rPr>
        <w:t xml:space="preserve"> de </w:t>
      </w:r>
      <w:proofErr w:type="spellStart"/>
      <w:r>
        <w:rPr>
          <w:rFonts w:ascii="Tahoma" w:eastAsia="Tahoma" w:hAnsi="Tahoma" w:cs="Tahoma"/>
          <w:sz w:val="32"/>
          <w:szCs w:val="32"/>
          <w:lang w:val="en-US"/>
        </w:rPr>
        <w:t>nece</w:t>
      </w:r>
      <w:r w:rsidR="007B47BE">
        <w:rPr>
          <w:rFonts w:ascii="Tahoma" w:eastAsia="Tahoma" w:hAnsi="Tahoma" w:cs="Tahoma"/>
          <w:sz w:val="32"/>
          <w:szCs w:val="32"/>
          <w:lang w:val="en-US"/>
        </w:rPr>
        <w:t>sitate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,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structurile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poliției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,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jandarmeriei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și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poliției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locale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desfășoară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măsuri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de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menținere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a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ordinii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publice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în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proximitatea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locațiilor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unde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sunt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plasate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persoane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în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carantină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sau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se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realizează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activități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medicale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 xml:space="preserve"> </w:t>
      </w:r>
      <w:proofErr w:type="spellStart"/>
      <w:r w:rsidR="007B47BE">
        <w:rPr>
          <w:rFonts w:ascii="Tahoma" w:eastAsia="Tahoma" w:hAnsi="Tahoma" w:cs="Tahoma"/>
          <w:sz w:val="32"/>
          <w:szCs w:val="32"/>
          <w:lang w:val="en-US"/>
        </w:rPr>
        <w:t>specifice</w:t>
      </w:r>
      <w:proofErr w:type="spellEnd"/>
      <w:r w:rsidR="007B47BE">
        <w:rPr>
          <w:rFonts w:ascii="Tahoma" w:eastAsia="Tahoma" w:hAnsi="Tahoma" w:cs="Tahoma"/>
          <w:sz w:val="32"/>
          <w:szCs w:val="32"/>
          <w:lang w:val="en-US"/>
        </w:rPr>
        <w:t>.</w:t>
      </w: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De asemenea, noaptea trecută, imediat după ședința de guvern, a fost constituită o Celulă de criză la Ministerul Afacerilor Interne, cu privire la aglomerațiile din punctele de trecere a frontierei din vestul României și organizată o videoconferință cu prefecții din toate județele și municipiul București, cărora le-au fost transmise deciziile și măsurile rapide de aplicat pentru fluidizarea traficului din frontieră și în țară.</w:t>
      </w: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Astfel, a fost suplimentat numărul de  medici din punctele vamale și s-au evaluat epidemiologic toți cetățenii români și străini veniți din zonele cu focare de infecție cu COVID-19.</w:t>
      </w: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Pentru aceștia s-au organizat imediat convoaie de maxim 10 autoturisme, flancate de echipaje de poliție și jandarmerie care i-au escortat până în județele de domiciliu, unde au fost așteptați de prefecți și autorități pentru a fi introduși în centrele de carantină.</w:t>
      </w: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</w:p>
    <w:p w:rsidR="003042B7" w:rsidRPr="003042B7" w:rsidRDefault="003042B7" w:rsidP="003042B7">
      <w:pPr>
        <w:jc w:val="both"/>
        <w:rPr>
          <w:rFonts w:ascii="Tahoma" w:eastAsia="Tahoma" w:hAnsi="Tahoma" w:cs="Tahoma"/>
          <w:sz w:val="32"/>
          <w:szCs w:val="32"/>
        </w:rPr>
      </w:pPr>
      <w:r w:rsidRPr="003042B7">
        <w:rPr>
          <w:rFonts w:ascii="Tahoma" w:eastAsia="Tahoma" w:hAnsi="Tahoma" w:cs="Tahoma"/>
          <w:sz w:val="32"/>
          <w:szCs w:val="32"/>
        </w:rPr>
        <w:t>Astfel, în această dimineață, în jurul orei 03.00, punctul de trecere a frontierei a fost liber.</w:t>
      </w:r>
    </w:p>
    <w:p w:rsidR="003042B7" w:rsidRPr="003042B7" w:rsidRDefault="003042B7" w:rsidP="003042B7">
      <w:pPr>
        <w:ind w:left="1080"/>
        <w:contextualSpacing/>
        <w:jc w:val="both"/>
        <w:rPr>
          <w:rFonts w:ascii="Tahoma" w:eastAsia="Tahoma" w:hAnsi="Tahoma" w:cs="Tahoma"/>
          <w:sz w:val="32"/>
          <w:szCs w:val="32"/>
        </w:rPr>
      </w:pPr>
    </w:p>
    <w:p w:rsidR="007B47BE" w:rsidRPr="007B47BE" w:rsidRDefault="007B47BE" w:rsidP="003042B7">
      <w:pPr>
        <w:ind w:firstLine="720"/>
        <w:jc w:val="both"/>
        <w:rPr>
          <w:rFonts w:ascii="Tahoma" w:eastAsia="Tahoma" w:hAnsi="Tahoma" w:cs="Tahoma"/>
          <w:sz w:val="32"/>
          <w:szCs w:val="32"/>
          <w:lang w:val="en-US"/>
        </w:rPr>
      </w:pPr>
      <w:r>
        <w:rPr>
          <w:rFonts w:ascii="Tahoma" w:eastAsia="Tahoma" w:hAnsi="Tahoma" w:cs="Tahoma"/>
          <w:sz w:val="32"/>
          <w:szCs w:val="32"/>
        </w:rPr>
        <w:t>Totodată, direcțiile de sănătatea publică au fost aplicat amenzi în cuantum de 20.000 de lei (peste 4000 euro), în următoarele cazuri</w:t>
      </w:r>
      <w:r>
        <w:rPr>
          <w:rFonts w:ascii="Tahoma" w:eastAsia="Tahoma" w:hAnsi="Tahoma" w:cs="Tahoma"/>
          <w:sz w:val="32"/>
          <w:szCs w:val="32"/>
          <w:lang w:val="en-US"/>
        </w:rPr>
        <w:t>:</w:t>
      </w:r>
    </w:p>
    <w:p w:rsidR="007B47BE" w:rsidRP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lastRenderedPageBreak/>
        <w:t>La Hunedoara, d</w:t>
      </w:r>
      <w:r w:rsidRPr="007B47BE">
        <w:rPr>
          <w:rFonts w:ascii="Tahoma" w:eastAsia="Tahoma" w:hAnsi="Tahoma" w:cs="Tahoma"/>
          <w:sz w:val="32"/>
          <w:szCs w:val="32"/>
        </w:rPr>
        <w:t>ouă persoane au declarat că sosesc din Italia, dintr-o zonă neafectată de risc epidemiologic, iar în urma verificărilor efectuate s-a stabilit că aceștia provin dintr-o zonă aflată în</w:t>
      </w:r>
      <w:r>
        <w:rPr>
          <w:rFonts w:ascii="Tahoma" w:eastAsia="Tahoma" w:hAnsi="Tahoma" w:cs="Tahoma"/>
          <w:sz w:val="32"/>
          <w:szCs w:val="32"/>
        </w:rPr>
        <w:t xml:space="preserve"> carantină. </w:t>
      </w:r>
    </w:p>
    <w:p w:rsidR="007B47BE" w:rsidRP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La Călărași, d</w:t>
      </w:r>
      <w:r w:rsidRPr="007B47BE">
        <w:rPr>
          <w:rFonts w:ascii="Tahoma" w:eastAsia="Tahoma" w:hAnsi="Tahoma" w:cs="Tahoma"/>
          <w:sz w:val="32"/>
          <w:szCs w:val="32"/>
        </w:rPr>
        <w:t>ouă persoane care au declarat la intrarea în țară că se vor autoizola la domiciliu, însă până în acest moment nu au ajuns la loc</w:t>
      </w:r>
      <w:r>
        <w:rPr>
          <w:rFonts w:ascii="Tahoma" w:eastAsia="Tahoma" w:hAnsi="Tahoma" w:cs="Tahoma"/>
          <w:sz w:val="32"/>
          <w:szCs w:val="32"/>
        </w:rPr>
        <w:t xml:space="preserve">ul indicat. </w:t>
      </w:r>
    </w:p>
    <w:p w:rsidR="007B47BE" w:rsidRP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La Suceava, </w:t>
      </w:r>
      <w:r w:rsidRPr="007B47BE">
        <w:rPr>
          <w:rFonts w:ascii="Tahoma" w:eastAsia="Tahoma" w:hAnsi="Tahoma" w:cs="Tahoma"/>
          <w:sz w:val="32"/>
          <w:szCs w:val="32"/>
        </w:rPr>
        <w:t xml:space="preserve">o persoană care a declarat la intrarea în țară că se vor autoizola la domiciliu, însă până în acest moment nu au ajuns la locul indicat și a fost găsit la domiciliul socrului său. </w:t>
      </w:r>
    </w:p>
    <w:p w:rsidR="00620091" w:rsidRDefault="00620091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620091" w:rsidRDefault="00620091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Poliția de frontieră urmărește toate cursele cu escală, astfel persoanele care sosesc în România nu pot ascunde punctele de plecare de origine.</w:t>
      </w:r>
    </w:p>
    <w:p w:rsidR="007C49F8" w:rsidRDefault="007C49F8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7C49F8" w:rsidRDefault="007C49F8" w:rsidP="007B47BE">
      <w:pPr>
        <w:ind w:firstLine="720"/>
        <w:jc w:val="both"/>
        <w:rPr>
          <w:rFonts w:ascii="Tahoma" w:eastAsia="Tahoma" w:hAnsi="Tahoma" w:cs="Tahoma"/>
          <w:sz w:val="32"/>
          <w:szCs w:val="32"/>
          <w:lang w:val="en-US"/>
        </w:rPr>
      </w:pPr>
      <w:r>
        <w:rPr>
          <w:rFonts w:ascii="Tahoma" w:eastAsia="Tahoma" w:hAnsi="Tahoma" w:cs="Tahoma"/>
          <w:sz w:val="32"/>
          <w:szCs w:val="32"/>
        </w:rPr>
        <w:t>În acest moment,</w:t>
      </w:r>
      <w:r w:rsidR="00884F40">
        <w:rPr>
          <w:rFonts w:ascii="Tahoma" w:eastAsia="Tahoma" w:hAnsi="Tahoma" w:cs="Tahoma"/>
          <w:sz w:val="32"/>
          <w:szCs w:val="32"/>
        </w:rPr>
        <w:t xml:space="preserve"> sunt</w:t>
      </w:r>
      <w:r>
        <w:rPr>
          <w:rFonts w:ascii="Tahoma" w:eastAsia="Tahoma" w:hAnsi="Tahoma" w:cs="Tahoma"/>
          <w:sz w:val="32"/>
          <w:szCs w:val="32"/>
        </w:rPr>
        <w:t xml:space="preserve"> 752 de persoane aflate în carantină, </w:t>
      </w:r>
      <w:r w:rsidR="00884F40">
        <w:rPr>
          <w:rFonts w:ascii="Tahoma" w:eastAsia="Tahoma" w:hAnsi="Tahoma" w:cs="Tahoma"/>
          <w:sz w:val="32"/>
          <w:szCs w:val="32"/>
        </w:rPr>
        <w:t xml:space="preserve">persoane care </w:t>
      </w:r>
      <w:r>
        <w:rPr>
          <w:rFonts w:ascii="Tahoma" w:eastAsia="Tahoma" w:hAnsi="Tahoma" w:cs="Tahoma"/>
          <w:sz w:val="32"/>
          <w:szCs w:val="32"/>
        </w:rPr>
        <w:t>au sosit</w:t>
      </w:r>
      <w:r w:rsidR="00884F40">
        <w:rPr>
          <w:rFonts w:ascii="Tahoma" w:eastAsia="Tahoma" w:hAnsi="Tahoma" w:cs="Tahoma"/>
          <w:sz w:val="32"/>
          <w:szCs w:val="32"/>
        </w:rPr>
        <w:t xml:space="preserve"> în România,</w:t>
      </w:r>
      <w:r>
        <w:rPr>
          <w:rFonts w:ascii="Tahoma" w:eastAsia="Tahoma" w:hAnsi="Tahoma" w:cs="Tahoma"/>
          <w:sz w:val="32"/>
          <w:szCs w:val="32"/>
        </w:rPr>
        <w:t xml:space="preserve"> cu escală,</w:t>
      </w:r>
      <w:r w:rsidR="00884F40">
        <w:rPr>
          <w:rFonts w:ascii="Tahoma" w:eastAsia="Tahoma" w:hAnsi="Tahoma" w:cs="Tahoma"/>
          <w:sz w:val="32"/>
          <w:szCs w:val="32"/>
        </w:rPr>
        <w:t xml:space="preserve"> din zonele de risc.</w:t>
      </w:r>
      <w:r>
        <w:rPr>
          <w:rFonts w:ascii="Tahoma" w:eastAsia="Tahoma" w:hAnsi="Tahoma" w:cs="Tahoma"/>
          <w:sz w:val="32"/>
          <w:szCs w:val="32"/>
        </w:rPr>
        <w:t xml:space="preserve"> </w:t>
      </w:r>
      <w:bookmarkStart w:id="0" w:name="_GoBack"/>
      <w:bookmarkEnd w:id="0"/>
    </w:p>
    <w:p w:rsidR="007C49F8" w:rsidRDefault="007C49F8" w:rsidP="007C49F8">
      <w:pPr>
        <w:jc w:val="both"/>
        <w:rPr>
          <w:rFonts w:ascii="Tahoma" w:eastAsia="Tahoma" w:hAnsi="Tahoma" w:cs="Tahoma"/>
          <w:sz w:val="32"/>
          <w:szCs w:val="32"/>
          <w:lang w:val="en-US"/>
        </w:rPr>
      </w:pPr>
    </w:p>
    <w:p w:rsidR="00620091" w:rsidRPr="007B47BE" w:rsidRDefault="00620091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p w:rsidR="007B47BE" w:rsidRPr="007B47BE" w:rsidRDefault="007B47BE" w:rsidP="007B47BE">
      <w:pPr>
        <w:ind w:firstLine="720"/>
        <w:jc w:val="both"/>
        <w:rPr>
          <w:rFonts w:ascii="Tahoma" w:eastAsia="Tahoma" w:hAnsi="Tahoma" w:cs="Tahoma"/>
          <w:sz w:val="32"/>
          <w:szCs w:val="32"/>
        </w:rPr>
      </w:pPr>
    </w:p>
    <w:sectPr w:rsidR="007B47BE" w:rsidRPr="007B47BE">
      <w:footerReference w:type="first" r:id="rId8"/>
      <w:pgSz w:w="11907" w:h="16840"/>
      <w:pgMar w:top="567" w:right="567" w:bottom="567" w:left="1134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C0" w:rsidRDefault="00831CC0">
      <w:r>
        <w:separator/>
      </w:r>
    </w:p>
  </w:endnote>
  <w:endnote w:type="continuationSeparator" w:id="0">
    <w:p w:rsidR="00831CC0" w:rsidRDefault="0083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AAF" w:rsidRDefault="001F0AA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C0" w:rsidRDefault="00831CC0">
      <w:r>
        <w:separator/>
      </w:r>
    </w:p>
  </w:footnote>
  <w:footnote w:type="continuationSeparator" w:id="0">
    <w:p w:rsidR="00831CC0" w:rsidRDefault="0083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4C1C"/>
    <w:multiLevelType w:val="multilevel"/>
    <w:tmpl w:val="41F01124"/>
    <w:lvl w:ilvl="0">
      <w:start w:val="1"/>
      <w:numFmt w:val="bullet"/>
      <w:lvlText w:val="⮚"/>
      <w:lvlJc w:val="left"/>
      <w:pPr>
        <w:ind w:left="78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2B026B0"/>
    <w:multiLevelType w:val="hybridMultilevel"/>
    <w:tmpl w:val="92F4392C"/>
    <w:lvl w:ilvl="0" w:tplc="6924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757D6D"/>
    <w:multiLevelType w:val="hybridMultilevel"/>
    <w:tmpl w:val="EDB04282"/>
    <w:lvl w:ilvl="0" w:tplc="2C6C7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0AAF"/>
    <w:rsid w:val="0006592A"/>
    <w:rsid w:val="001308FD"/>
    <w:rsid w:val="001F0AAF"/>
    <w:rsid w:val="002370DB"/>
    <w:rsid w:val="003042B7"/>
    <w:rsid w:val="0030440A"/>
    <w:rsid w:val="005221E8"/>
    <w:rsid w:val="00544E51"/>
    <w:rsid w:val="005F08F3"/>
    <w:rsid w:val="00620091"/>
    <w:rsid w:val="00717420"/>
    <w:rsid w:val="007B47BE"/>
    <w:rsid w:val="007C49F8"/>
    <w:rsid w:val="00822EDE"/>
    <w:rsid w:val="00827C37"/>
    <w:rsid w:val="00831CC0"/>
    <w:rsid w:val="00841E4B"/>
    <w:rsid w:val="00884F40"/>
    <w:rsid w:val="00A11B7B"/>
    <w:rsid w:val="00B10D80"/>
    <w:rsid w:val="00B36081"/>
    <w:rsid w:val="00BC0C5D"/>
    <w:rsid w:val="00D81079"/>
    <w:rsid w:val="00D97250"/>
    <w:rsid w:val="00FB0126"/>
    <w:rsid w:val="00FB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Tahoma" w:eastAsia="Tahoma" w:hAnsi="Tahoma" w:cs="Tahoma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Tahoma" w:eastAsia="Tahoma" w:hAnsi="Tahoma" w:cs="Tahoma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rFonts w:ascii="Tahoma" w:eastAsia="Tahoma" w:hAnsi="Tahoma" w:cs="Tahoma"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26"/>
      <w:szCs w:val="26"/>
    </w:rPr>
  </w:style>
  <w:style w:type="paragraph" w:styleId="Heading5">
    <w:name w:val="heading 5"/>
    <w:basedOn w:val="Normal"/>
    <w:next w:val="Normal"/>
    <w:pPr>
      <w:keepNext/>
      <w:spacing w:line="360" w:lineRule="auto"/>
      <w:ind w:firstLine="720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Tahoma" w:eastAsia="Tahoma" w:hAnsi="Tahoma" w:cs="Tahoma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Tahoma" w:eastAsia="Tahoma" w:hAnsi="Tahoma" w:cs="Tahoma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rFonts w:ascii="Tahoma" w:eastAsia="Tahoma" w:hAnsi="Tahoma" w:cs="Tahoma"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26"/>
      <w:szCs w:val="26"/>
    </w:rPr>
  </w:style>
  <w:style w:type="paragraph" w:styleId="Heading5">
    <w:name w:val="heading 5"/>
    <w:basedOn w:val="Normal"/>
    <w:next w:val="Normal"/>
    <w:pPr>
      <w:keepNext/>
      <w:spacing w:line="360" w:lineRule="auto"/>
      <w:ind w:firstLine="720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Admio</dc:creator>
  <cp:lastModifiedBy>Admio</cp:lastModifiedBy>
  <cp:revision>3</cp:revision>
  <dcterms:created xsi:type="dcterms:W3CDTF">2020-03-11T10:38:00Z</dcterms:created>
  <dcterms:modified xsi:type="dcterms:W3CDTF">2020-03-11T10:39:00Z</dcterms:modified>
</cp:coreProperties>
</file>