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F83" w:rsidRPr="003003B3" w:rsidRDefault="007A08C6" w:rsidP="003003B3">
      <w:pPr>
        <w:pStyle w:val="Bulet"/>
        <w:numPr>
          <w:ilvl w:val="0"/>
          <w:numId w:val="0"/>
        </w:numPr>
        <w:spacing w:before="0"/>
        <w:jc w:val="right"/>
        <w:rPr>
          <w:sz w:val="24"/>
        </w:rPr>
      </w:pPr>
      <w:bookmarkStart w:id="0" w:name="_GoBack"/>
      <w:bookmarkEnd w:id="0"/>
      <w:r>
        <w:rPr>
          <w:sz w:val="24"/>
        </w:rPr>
        <w:t>Partidul Social Democrat</w:t>
      </w:r>
    </w:p>
    <w:p w:rsidR="00CA2F83" w:rsidRPr="003003B3" w:rsidRDefault="007A08C6" w:rsidP="003003B3">
      <w:pPr>
        <w:pStyle w:val="Bulet"/>
        <w:numPr>
          <w:ilvl w:val="0"/>
          <w:numId w:val="0"/>
        </w:numPr>
        <w:spacing w:before="0"/>
        <w:jc w:val="right"/>
        <w:rPr>
          <w:sz w:val="24"/>
        </w:rPr>
      </w:pPr>
      <w:r>
        <w:rPr>
          <w:sz w:val="24"/>
        </w:rPr>
        <w:t>Șoseaua Kiseleff 10, Sector 1</w:t>
      </w:r>
    </w:p>
    <w:p w:rsidR="00CA2F83" w:rsidRPr="003003B3" w:rsidRDefault="00A4668A" w:rsidP="003003B3">
      <w:pPr>
        <w:pStyle w:val="Bulet"/>
        <w:numPr>
          <w:ilvl w:val="0"/>
          <w:numId w:val="0"/>
        </w:numPr>
        <w:spacing w:before="0"/>
        <w:jc w:val="right"/>
        <w:rPr>
          <w:sz w:val="24"/>
        </w:rPr>
      </w:pPr>
      <w:r>
        <w:rPr>
          <w:sz w:val="24"/>
        </w:rPr>
        <w:t xml:space="preserve">013811 </w:t>
      </w:r>
      <w:r w:rsidR="00CA2F83" w:rsidRPr="003003B3">
        <w:rPr>
          <w:sz w:val="24"/>
        </w:rPr>
        <w:t>București România</w:t>
      </w:r>
    </w:p>
    <w:p w:rsidR="00CA2F83" w:rsidRPr="003003B3" w:rsidRDefault="00CA2F83" w:rsidP="00CA2F83">
      <w:pPr>
        <w:pStyle w:val="Bulet"/>
        <w:numPr>
          <w:ilvl w:val="0"/>
          <w:numId w:val="0"/>
        </w:numPr>
        <w:jc w:val="right"/>
        <w:rPr>
          <w:sz w:val="24"/>
        </w:rPr>
      </w:pPr>
    </w:p>
    <w:p w:rsidR="00CA2F83" w:rsidRDefault="007A08C6" w:rsidP="003003B3">
      <w:pPr>
        <w:pStyle w:val="Bulet"/>
        <w:numPr>
          <w:ilvl w:val="0"/>
          <w:numId w:val="0"/>
        </w:numPr>
        <w:spacing w:before="0"/>
        <w:jc w:val="left"/>
        <w:rPr>
          <w:sz w:val="24"/>
        </w:rPr>
      </w:pPr>
      <w:r>
        <w:rPr>
          <w:sz w:val="24"/>
        </w:rPr>
        <w:t xml:space="preserve">În atenția </w:t>
      </w:r>
      <w:r w:rsidR="00A4668A">
        <w:rPr>
          <w:sz w:val="24"/>
        </w:rPr>
        <w:t xml:space="preserve">Domnului </w:t>
      </w:r>
      <w:r w:rsidR="008903B6">
        <w:rPr>
          <w:sz w:val="24"/>
        </w:rPr>
        <w:t xml:space="preserve">Gianni </w:t>
      </w:r>
      <w:proofErr w:type="spellStart"/>
      <w:r w:rsidR="008903B6">
        <w:rPr>
          <w:sz w:val="24"/>
        </w:rPr>
        <w:t>Buquicchio</w:t>
      </w:r>
      <w:proofErr w:type="spellEnd"/>
    </w:p>
    <w:p w:rsidR="008903B6" w:rsidRPr="008903B6" w:rsidRDefault="008903B6" w:rsidP="008903B6">
      <w:pPr>
        <w:rPr>
          <w:rFonts w:cstheme="minorHAnsi"/>
          <w:sz w:val="24"/>
          <w:szCs w:val="24"/>
        </w:rPr>
      </w:pPr>
      <w:r w:rsidRPr="008903B6">
        <w:rPr>
          <w:rStyle w:val="Strong"/>
          <w:rFonts w:cstheme="minorHAnsi"/>
          <w:b w:val="0"/>
          <w:color w:val="444444"/>
          <w:sz w:val="24"/>
          <w:szCs w:val="24"/>
          <w:shd w:val="clear" w:color="auto" w:fill="FFFFFF"/>
        </w:rPr>
        <w:t xml:space="preserve">Secretariat of </w:t>
      </w:r>
      <w:proofErr w:type="spellStart"/>
      <w:r w:rsidRPr="008903B6">
        <w:rPr>
          <w:rStyle w:val="Strong"/>
          <w:rFonts w:cstheme="minorHAnsi"/>
          <w:b w:val="0"/>
          <w:color w:val="444444"/>
          <w:sz w:val="24"/>
          <w:szCs w:val="24"/>
          <w:shd w:val="clear" w:color="auto" w:fill="FFFFFF"/>
        </w:rPr>
        <w:t>the</w:t>
      </w:r>
      <w:proofErr w:type="spellEnd"/>
      <w:r w:rsidRPr="008903B6">
        <w:rPr>
          <w:rStyle w:val="Strong"/>
          <w:rFonts w:cstheme="minorHAnsi"/>
          <w:b w:val="0"/>
          <w:color w:val="444444"/>
          <w:sz w:val="24"/>
          <w:szCs w:val="24"/>
          <w:shd w:val="clear" w:color="auto" w:fill="FFFFFF"/>
        </w:rPr>
        <w:t xml:space="preserve"> </w:t>
      </w:r>
      <w:proofErr w:type="spellStart"/>
      <w:r w:rsidRPr="008903B6">
        <w:rPr>
          <w:rStyle w:val="Strong"/>
          <w:rFonts w:cstheme="minorHAnsi"/>
          <w:b w:val="0"/>
          <w:color w:val="444444"/>
          <w:sz w:val="24"/>
          <w:szCs w:val="24"/>
          <w:shd w:val="clear" w:color="auto" w:fill="FFFFFF"/>
        </w:rPr>
        <w:t>Venice</w:t>
      </w:r>
      <w:proofErr w:type="spellEnd"/>
      <w:r w:rsidRPr="008903B6">
        <w:rPr>
          <w:rStyle w:val="Strong"/>
          <w:rFonts w:cstheme="minorHAnsi"/>
          <w:b w:val="0"/>
          <w:color w:val="444444"/>
          <w:sz w:val="24"/>
          <w:szCs w:val="24"/>
          <w:shd w:val="clear" w:color="auto" w:fill="FFFFFF"/>
        </w:rPr>
        <w:t xml:space="preserve"> </w:t>
      </w:r>
      <w:proofErr w:type="spellStart"/>
      <w:r w:rsidRPr="008903B6">
        <w:rPr>
          <w:rStyle w:val="Strong"/>
          <w:rFonts w:cstheme="minorHAnsi"/>
          <w:b w:val="0"/>
          <w:color w:val="444444"/>
          <w:sz w:val="24"/>
          <w:szCs w:val="24"/>
          <w:shd w:val="clear" w:color="auto" w:fill="FFFFFF"/>
        </w:rPr>
        <w:t>Commission</w:t>
      </w:r>
      <w:proofErr w:type="spellEnd"/>
      <w:r w:rsidRPr="008903B6">
        <w:rPr>
          <w:rFonts w:cstheme="minorHAnsi"/>
          <w:color w:val="444444"/>
          <w:sz w:val="24"/>
          <w:szCs w:val="24"/>
        </w:rPr>
        <w:br/>
      </w:r>
      <w:r w:rsidRPr="008903B6">
        <w:rPr>
          <w:rFonts w:cstheme="minorHAnsi"/>
          <w:color w:val="444444"/>
          <w:sz w:val="24"/>
          <w:szCs w:val="24"/>
          <w:shd w:val="clear" w:color="auto" w:fill="FFFFFF"/>
        </w:rPr>
        <w:t>Council of Europe</w:t>
      </w:r>
      <w:r w:rsidRPr="008903B6">
        <w:rPr>
          <w:rFonts w:cstheme="minorHAnsi"/>
          <w:color w:val="444444"/>
          <w:sz w:val="24"/>
          <w:szCs w:val="24"/>
        </w:rPr>
        <w:br/>
      </w:r>
      <w:r w:rsidRPr="008903B6">
        <w:rPr>
          <w:rFonts w:cstheme="minorHAnsi"/>
          <w:color w:val="444444"/>
          <w:sz w:val="24"/>
          <w:szCs w:val="24"/>
          <w:shd w:val="clear" w:color="auto" w:fill="FFFFFF"/>
        </w:rPr>
        <w:t xml:space="preserve">67075 Strasbourg </w:t>
      </w:r>
      <w:proofErr w:type="spellStart"/>
      <w:r w:rsidRPr="008903B6">
        <w:rPr>
          <w:rFonts w:cstheme="minorHAnsi"/>
          <w:color w:val="444444"/>
          <w:sz w:val="24"/>
          <w:szCs w:val="24"/>
          <w:shd w:val="clear" w:color="auto" w:fill="FFFFFF"/>
        </w:rPr>
        <w:t>Cedex</w:t>
      </w:r>
      <w:proofErr w:type="spellEnd"/>
      <w:r w:rsidRPr="008903B6">
        <w:rPr>
          <w:rFonts w:cstheme="minorHAnsi"/>
          <w:color w:val="444444"/>
          <w:sz w:val="24"/>
          <w:szCs w:val="24"/>
        </w:rPr>
        <w:br/>
      </w:r>
      <w:r w:rsidRPr="008903B6">
        <w:rPr>
          <w:rFonts w:cstheme="minorHAnsi"/>
          <w:color w:val="444444"/>
          <w:sz w:val="24"/>
          <w:szCs w:val="24"/>
          <w:shd w:val="clear" w:color="auto" w:fill="FFFFFF"/>
        </w:rPr>
        <w:t>France</w:t>
      </w:r>
      <w:r w:rsidRPr="008903B6">
        <w:rPr>
          <w:rFonts w:cstheme="minorHAnsi"/>
          <w:color w:val="444444"/>
          <w:sz w:val="24"/>
          <w:szCs w:val="24"/>
        </w:rPr>
        <w:br/>
      </w:r>
      <w:r w:rsidRPr="008903B6">
        <w:rPr>
          <w:rFonts w:cstheme="minorHAnsi"/>
          <w:color w:val="444444"/>
          <w:sz w:val="24"/>
          <w:szCs w:val="24"/>
          <w:shd w:val="clear" w:color="auto" w:fill="FFFFFF"/>
        </w:rPr>
        <w:t>Tel.: +33 3 88 41 20 67</w:t>
      </w:r>
      <w:r w:rsidRPr="008903B6">
        <w:rPr>
          <w:rFonts w:cstheme="minorHAnsi"/>
          <w:color w:val="444444"/>
          <w:sz w:val="24"/>
          <w:szCs w:val="24"/>
        </w:rPr>
        <w:br/>
      </w:r>
      <w:r w:rsidRPr="008903B6">
        <w:rPr>
          <w:rFonts w:cstheme="minorHAnsi"/>
          <w:color w:val="444444"/>
          <w:sz w:val="24"/>
          <w:szCs w:val="24"/>
          <w:shd w:val="clear" w:color="auto" w:fill="FFFFFF"/>
        </w:rPr>
        <w:t>Fax: +33 3 88 41 37 38</w:t>
      </w:r>
      <w:r w:rsidRPr="008903B6">
        <w:rPr>
          <w:rFonts w:cstheme="minorHAnsi"/>
          <w:color w:val="444444"/>
          <w:sz w:val="24"/>
          <w:szCs w:val="24"/>
        </w:rPr>
        <w:br/>
      </w:r>
      <w:r w:rsidRPr="008903B6">
        <w:rPr>
          <w:rFonts w:cstheme="minorHAnsi"/>
          <w:color w:val="444444"/>
          <w:sz w:val="24"/>
          <w:szCs w:val="24"/>
          <w:shd w:val="clear" w:color="auto" w:fill="FFFFFF"/>
        </w:rPr>
        <w:t>e-mail: </w:t>
      </w:r>
      <w:hyperlink r:id="rId7" w:history="1">
        <w:r w:rsidRPr="008903B6">
          <w:rPr>
            <w:rStyle w:val="Hyperlink"/>
            <w:rFonts w:cstheme="minorHAnsi"/>
            <w:color w:val="5C80B1"/>
            <w:sz w:val="24"/>
            <w:szCs w:val="24"/>
            <w:shd w:val="clear" w:color="auto" w:fill="FFFFFF"/>
          </w:rPr>
          <w:t>venice@coe.int</w:t>
        </w:r>
      </w:hyperlink>
    </w:p>
    <w:p w:rsidR="008B6B08" w:rsidRDefault="008B6B08" w:rsidP="00A4668A">
      <w:pPr>
        <w:rPr>
          <w:b/>
          <w:sz w:val="28"/>
          <w:szCs w:val="28"/>
        </w:rPr>
      </w:pPr>
    </w:p>
    <w:p w:rsidR="007A08C6" w:rsidRPr="00475E3A" w:rsidRDefault="00475E3A" w:rsidP="004C3BF9">
      <w:pPr>
        <w:pStyle w:val="Bulet"/>
        <w:numPr>
          <w:ilvl w:val="0"/>
          <w:numId w:val="0"/>
        </w:numPr>
        <w:rPr>
          <w:sz w:val="24"/>
        </w:rPr>
      </w:pPr>
      <w:r w:rsidRPr="00475E3A">
        <w:rPr>
          <w:sz w:val="24"/>
        </w:rPr>
        <w:t>București, 14 Ianuarie 2020</w:t>
      </w:r>
    </w:p>
    <w:p w:rsidR="003003B3" w:rsidRPr="003003B3" w:rsidRDefault="003003B3" w:rsidP="004C3BF9">
      <w:pPr>
        <w:pStyle w:val="Bulet"/>
        <w:numPr>
          <w:ilvl w:val="0"/>
          <w:numId w:val="0"/>
        </w:numPr>
        <w:rPr>
          <w:b/>
          <w:sz w:val="24"/>
        </w:rPr>
      </w:pPr>
      <w:r w:rsidRPr="003003B3">
        <w:rPr>
          <w:b/>
          <w:sz w:val="24"/>
        </w:rPr>
        <w:t xml:space="preserve">Re: Modificarea structurală </w:t>
      </w:r>
      <w:r w:rsidR="00E85D78">
        <w:rPr>
          <w:b/>
          <w:sz w:val="24"/>
        </w:rPr>
        <w:t xml:space="preserve">a </w:t>
      </w:r>
      <w:r w:rsidRPr="003003B3">
        <w:rPr>
          <w:b/>
          <w:sz w:val="24"/>
        </w:rPr>
        <w:t xml:space="preserve">legislației electorale din România, </w:t>
      </w:r>
      <w:r w:rsidR="00831EAB">
        <w:rPr>
          <w:b/>
          <w:sz w:val="24"/>
        </w:rPr>
        <w:t>contrar standardelor europene de bună practică în materie electorală</w:t>
      </w:r>
    </w:p>
    <w:p w:rsidR="003003B3" w:rsidRPr="003003B3" w:rsidRDefault="003003B3" w:rsidP="004C3BF9">
      <w:pPr>
        <w:pStyle w:val="Bulet"/>
        <w:numPr>
          <w:ilvl w:val="0"/>
          <w:numId w:val="0"/>
        </w:numPr>
        <w:rPr>
          <w:sz w:val="24"/>
        </w:rPr>
      </w:pPr>
    </w:p>
    <w:p w:rsidR="00CB18C4" w:rsidRPr="003003B3" w:rsidRDefault="007A08C6" w:rsidP="004C3BF9">
      <w:pPr>
        <w:pStyle w:val="Bulet"/>
        <w:numPr>
          <w:ilvl w:val="0"/>
          <w:numId w:val="0"/>
        </w:numPr>
        <w:rPr>
          <w:sz w:val="24"/>
        </w:rPr>
      </w:pPr>
      <w:proofErr w:type="spellStart"/>
      <w:r>
        <w:rPr>
          <w:sz w:val="24"/>
        </w:rPr>
        <w:t>D</w:t>
      </w:r>
      <w:r w:rsidR="00A4668A">
        <w:rPr>
          <w:sz w:val="24"/>
        </w:rPr>
        <w:t>omnule</w:t>
      </w:r>
      <w:proofErr w:type="spellEnd"/>
      <w:r>
        <w:rPr>
          <w:sz w:val="24"/>
        </w:rPr>
        <w:t xml:space="preserve">, </w:t>
      </w:r>
    </w:p>
    <w:p w:rsidR="00F414C7" w:rsidRDefault="00CB18C4" w:rsidP="00F414C7">
      <w:pPr>
        <w:pStyle w:val="Bulet"/>
        <w:numPr>
          <w:ilvl w:val="0"/>
          <w:numId w:val="0"/>
        </w:numPr>
        <w:rPr>
          <w:b/>
          <w:bCs/>
          <w:sz w:val="24"/>
        </w:rPr>
      </w:pPr>
      <w:r w:rsidRPr="003003B3">
        <w:rPr>
          <w:sz w:val="24"/>
        </w:rPr>
        <w:t>Vă scriu</w:t>
      </w:r>
      <w:r w:rsidRPr="00F414C7">
        <w:rPr>
          <w:b/>
          <w:bCs/>
          <w:sz w:val="24"/>
        </w:rPr>
        <w:t xml:space="preserve"> într-un </w:t>
      </w:r>
      <w:r w:rsidR="00F414C7" w:rsidRPr="00F414C7">
        <w:rPr>
          <w:b/>
          <w:bCs/>
          <w:sz w:val="24"/>
        </w:rPr>
        <w:t xml:space="preserve">context dificil pentru </w:t>
      </w:r>
      <w:r w:rsidR="00BD16CF">
        <w:rPr>
          <w:b/>
          <w:bCs/>
          <w:sz w:val="24"/>
        </w:rPr>
        <w:t>sistemul democratic din România</w:t>
      </w:r>
      <w:r w:rsidRPr="00F414C7">
        <w:rPr>
          <w:b/>
          <w:bCs/>
          <w:sz w:val="24"/>
        </w:rPr>
        <w:t>.</w:t>
      </w:r>
      <w:r w:rsidRPr="003003B3">
        <w:rPr>
          <w:sz w:val="24"/>
        </w:rPr>
        <w:t xml:space="preserve"> Cu doar câteva luni înainte de alegerile locale </w:t>
      </w:r>
      <w:r w:rsidR="00F414C7">
        <w:rPr>
          <w:sz w:val="24"/>
        </w:rPr>
        <w:t>prevăzute</w:t>
      </w:r>
      <w:r w:rsidRPr="003003B3">
        <w:rPr>
          <w:sz w:val="24"/>
        </w:rPr>
        <w:t xml:space="preserve"> în luna mai</w:t>
      </w:r>
      <w:r w:rsidR="00474680" w:rsidRPr="003003B3">
        <w:rPr>
          <w:sz w:val="24"/>
        </w:rPr>
        <w:t xml:space="preserve"> anul curent</w:t>
      </w:r>
      <w:r w:rsidRPr="003003B3">
        <w:rPr>
          <w:sz w:val="24"/>
        </w:rPr>
        <w:t xml:space="preserve">, </w:t>
      </w:r>
      <w:r w:rsidRPr="003003B3">
        <w:rPr>
          <w:b/>
          <w:sz w:val="24"/>
        </w:rPr>
        <w:t>forțele politice care guvernează în prezent România</w:t>
      </w:r>
      <w:r w:rsidR="00F414C7">
        <w:rPr>
          <w:b/>
          <w:sz w:val="24"/>
        </w:rPr>
        <w:t xml:space="preserve"> doresc să impună modificări </w:t>
      </w:r>
      <w:r w:rsidRPr="003003B3">
        <w:rPr>
          <w:b/>
          <w:sz w:val="24"/>
        </w:rPr>
        <w:t>structurale, de amploare</w:t>
      </w:r>
      <w:r w:rsidR="00474680" w:rsidRPr="003003B3">
        <w:rPr>
          <w:b/>
          <w:sz w:val="24"/>
        </w:rPr>
        <w:t>, asupra</w:t>
      </w:r>
      <w:r w:rsidRPr="003003B3">
        <w:rPr>
          <w:b/>
          <w:sz w:val="24"/>
        </w:rPr>
        <w:t xml:space="preserve"> sistemul electoral</w:t>
      </w:r>
      <w:r w:rsidRPr="003003B3">
        <w:rPr>
          <w:sz w:val="24"/>
        </w:rPr>
        <w:t xml:space="preserve">. </w:t>
      </w:r>
      <w:r w:rsidRPr="00F414C7">
        <w:rPr>
          <w:b/>
          <w:bCs/>
          <w:sz w:val="24"/>
        </w:rPr>
        <w:t xml:space="preserve">Mai exact, partidele aflate la putere intenționează </w:t>
      </w:r>
      <w:r w:rsidR="00F414C7" w:rsidRPr="00F414C7">
        <w:rPr>
          <w:b/>
          <w:bCs/>
          <w:sz w:val="24"/>
        </w:rPr>
        <w:t>trecerea de la un singur tur pentru aleger</w:t>
      </w:r>
      <w:r w:rsidR="00F414C7">
        <w:rPr>
          <w:b/>
          <w:bCs/>
          <w:sz w:val="24"/>
        </w:rPr>
        <w:t>ea</w:t>
      </w:r>
      <w:r w:rsidR="00F414C7" w:rsidRPr="00F414C7">
        <w:rPr>
          <w:b/>
          <w:bCs/>
          <w:sz w:val="24"/>
        </w:rPr>
        <w:t xml:space="preserve"> primarilor și președinților de Consilii Județene, la două tururi</w:t>
      </w:r>
      <w:r w:rsidRPr="00F414C7">
        <w:rPr>
          <w:b/>
          <w:bCs/>
          <w:sz w:val="24"/>
        </w:rPr>
        <w:t>.</w:t>
      </w:r>
      <w:r w:rsidR="007A08C6">
        <w:rPr>
          <w:b/>
          <w:bCs/>
          <w:sz w:val="24"/>
        </w:rPr>
        <w:t xml:space="preserve"> </w:t>
      </w:r>
      <w:r w:rsidR="0030249F" w:rsidRPr="003003B3">
        <w:rPr>
          <w:sz w:val="24"/>
        </w:rPr>
        <w:t>În mod contradictori</w:t>
      </w:r>
      <w:r w:rsidR="00F414C7">
        <w:rPr>
          <w:sz w:val="24"/>
        </w:rPr>
        <w:t>u</w:t>
      </w:r>
      <w:r w:rsidR="0030249F" w:rsidRPr="003003B3">
        <w:rPr>
          <w:sz w:val="24"/>
        </w:rPr>
        <w:t xml:space="preserve">, cei care susțin această modificare intempestivă sunt aceiași </w:t>
      </w:r>
      <w:r w:rsidR="00474680" w:rsidRPr="003003B3">
        <w:rPr>
          <w:sz w:val="24"/>
        </w:rPr>
        <w:t xml:space="preserve">decidenți </w:t>
      </w:r>
      <w:r w:rsidR="0030249F" w:rsidRPr="003003B3">
        <w:rPr>
          <w:sz w:val="24"/>
        </w:rPr>
        <w:t>care au stabilit</w:t>
      </w:r>
      <w:r w:rsidR="00474680" w:rsidRPr="003003B3">
        <w:rPr>
          <w:sz w:val="24"/>
        </w:rPr>
        <w:t>,</w:t>
      </w:r>
      <w:r w:rsidR="0030249F" w:rsidRPr="003003B3">
        <w:rPr>
          <w:sz w:val="24"/>
        </w:rPr>
        <w:t xml:space="preserve"> în 2011</w:t>
      </w:r>
      <w:r w:rsidR="00474680" w:rsidRPr="003003B3">
        <w:rPr>
          <w:sz w:val="24"/>
        </w:rPr>
        <w:t>,</w:t>
      </w:r>
      <w:r w:rsidR="0030249F" w:rsidRPr="003003B3">
        <w:rPr>
          <w:sz w:val="24"/>
        </w:rPr>
        <w:t xml:space="preserve"> sistemul electoral actual (aplicat pentru prima oară în 2012), ceea ce demonstrează </w:t>
      </w:r>
      <w:r w:rsidR="00474680" w:rsidRPr="003003B3">
        <w:rPr>
          <w:sz w:val="24"/>
        </w:rPr>
        <w:t xml:space="preserve">inconsecvența lor și </w:t>
      </w:r>
      <w:r w:rsidR="0030249F" w:rsidRPr="003003B3">
        <w:rPr>
          <w:sz w:val="24"/>
        </w:rPr>
        <w:t xml:space="preserve">motivația cu totul conjuncturală care stă în spatele intenției de amendare a legislației electorale. </w:t>
      </w:r>
      <w:r w:rsidR="00F414C7" w:rsidRPr="00F414C7">
        <w:rPr>
          <w:b/>
          <w:bCs/>
          <w:sz w:val="24"/>
        </w:rPr>
        <w:t>Partidele care guvernează în România abuzează astfel de mandatul limitat dat de Parlament și întreprind demersuri care riscă să afecteze încrederea în democrația românească și statul de drept.</w:t>
      </w:r>
    </w:p>
    <w:p w:rsidR="00F414C7" w:rsidRPr="00F414C7" w:rsidRDefault="00F414C7" w:rsidP="00F414C7">
      <w:pPr>
        <w:pStyle w:val="Bulet"/>
        <w:numPr>
          <w:ilvl w:val="0"/>
          <w:numId w:val="0"/>
        </w:numPr>
        <w:rPr>
          <w:b/>
          <w:bCs/>
          <w:sz w:val="24"/>
        </w:rPr>
      </w:pPr>
      <w:r w:rsidRPr="00B827D7">
        <w:rPr>
          <w:rFonts w:cs="Calibri"/>
          <w:sz w:val="24"/>
        </w:rPr>
        <w:t xml:space="preserve">Sunt un om al dialogului și tind să cred că acest lucru este valabil pentru majoritatea colegilor mei parlamentari și lideri politici. </w:t>
      </w:r>
      <w:r w:rsidRPr="00B827D7">
        <w:rPr>
          <w:rFonts w:cs="Calibri"/>
          <w:b/>
          <w:bCs/>
          <w:sz w:val="24"/>
        </w:rPr>
        <w:t>Orice schimbare de asemenea anvergură nu poate fi decât rezultatul unei dezbateri publice, în Parlamentul României.</w:t>
      </w:r>
      <w:r w:rsidRPr="00B827D7">
        <w:rPr>
          <w:rFonts w:cs="Calibri"/>
          <w:sz w:val="24"/>
        </w:rPr>
        <w:t xml:space="preserve"> Cu argumente, prin demersuri constituționale și legale, am fi putut să realizăm o modificare de asemenea amploare a legislației electorale, care să fie aplicabilă următorului ciclu electoral, fără a afecta actualul proces electoral aflat deja în plină desfășurare.</w:t>
      </w:r>
    </w:p>
    <w:p w:rsidR="0030249F" w:rsidRPr="003003B3" w:rsidRDefault="0030249F" w:rsidP="004C3BF9">
      <w:pPr>
        <w:pStyle w:val="Bulet"/>
        <w:numPr>
          <w:ilvl w:val="0"/>
          <w:numId w:val="0"/>
        </w:numPr>
        <w:rPr>
          <w:sz w:val="24"/>
        </w:rPr>
      </w:pPr>
      <w:r w:rsidRPr="003003B3">
        <w:rPr>
          <w:sz w:val="24"/>
        </w:rPr>
        <w:t xml:space="preserve">În opinia noastră, </w:t>
      </w:r>
      <w:r w:rsidR="00D51412">
        <w:rPr>
          <w:sz w:val="24"/>
        </w:rPr>
        <w:t>reflectată în pozițiile adoptate anterior de cele mai</w:t>
      </w:r>
      <w:r w:rsidRPr="003003B3">
        <w:rPr>
          <w:sz w:val="24"/>
        </w:rPr>
        <w:t xml:space="preserve"> reprezentative organisme europene în materie, precum Comisia de la Veneția, </w:t>
      </w:r>
      <w:r w:rsidRPr="00F414C7">
        <w:rPr>
          <w:b/>
          <w:bCs/>
          <w:sz w:val="24"/>
        </w:rPr>
        <w:t>realizarea unor modificări structurale</w:t>
      </w:r>
      <w:r w:rsidR="00BD16CF">
        <w:rPr>
          <w:b/>
          <w:bCs/>
          <w:sz w:val="24"/>
        </w:rPr>
        <w:t xml:space="preserve"> de asemenea natură</w:t>
      </w:r>
      <w:r w:rsidRPr="00F414C7">
        <w:rPr>
          <w:b/>
          <w:bCs/>
          <w:sz w:val="24"/>
        </w:rPr>
        <w:t xml:space="preserve"> ale sistemului electoral, afectează în mod direct stabilitatea </w:t>
      </w:r>
      <w:r w:rsidR="00127456">
        <w:rPr>
          <w:b/>
          <w:bCs/>
          <w:sz w:val="24"/>
        </w:rPr>
        <w:t>dreptului</w:t>
      </w:r>
      <w:r w:rsidRPr="00F414C7">
        <w:rPr>
          <w:b/>
          <w:bCs/>
          <w:sz w:val="24"/>
        </w:rPr>
        <w:t xml:space="preserve"> electoral,</w:t>
      </w:r>
      <w:r w:rsidR="007A08C6">
        <w:rPr>
          <w:b/>
          <w:bCs/>
          <w:sz w:val="24"/>
        </w:rPr>
        <w:t xml:space="preserve"> </w:t>
      </w:r>
      <w:r w:rsidR="00F414C7">
        <w:rPr>
          <w:sz w:val="24"/>
        </w:rPr>
        <w:t>putând favoriza</w:t>
      </w:r>
      <w:r w:rsidR="007A08C6">
        <w:rPr>
          <w:sz w:val="24"/>
        </w:rPr>
        <w:t xml:space="preserve"> </w:t>
      </w:r>
      <w:r w:rsidR="00BD16CF">
        <w:rPr>
          <w:sz w:val="24"/>
        </w:rPr>
        <w:t>anumite partide</w:t>
      </w:r>
      <w:r w:rsidRPr="003003B3">
        <w:rPr>
          <w:sz w:val="24"/>
        </w:rPr>
        <w:t xml:space="preserve">, în tentația lor de a-și crea condiții avantajoase în competiția electorală. </w:t>
      </w:r>
    </w:p>
    <w:p w:rsidR="0030249F" w:rsidRPr="003003B3" w:rsidRDefault="0030249F" w:rsidP="004C3BF9">
      <w:pPr>
        <w:pStyle w:val="Bulet"/>
        <w:numPr>
          <w:ilvl w:val="0"/>
          <w:numId w:val="0"/>
        </w:numPr>
        <w:rPr>
          <w:sz w:val="24"/>
        </w:rPr>
      </w:pPr>
      <w:r w:rsidRPr="003003B3">
        <w:rPr>
          <w:sz w:val="24"/>
        </w:rPr>
        <w:lastRenderedPageBreak/>
        <w:t xml:space="preserve">Este așadar un abuz de putere evident, care încalcă în mod flagrant Constituția României și standardele de bună practică în materie electorală definite de Comisia de la Veneția și împărtășite de toate statele membre ale Uniunii Europene. </w:t>
      </w:r>
    </w:p>
    <w:p w:rsidR="0030249F" w:rsidRPr="003003B3" w:rsidRDefault="0030249F" w:rsidP="004C3BF9">
      <w:pPr>
        <w:pStyle w:val="Bulet"/>
        <w:numPr>
          <w:ilvl w:val="0"/>
          <w:numId w:val="0"/>
        </w:numPr>
        <w:rPr>
          <w:sz w:val="24"/>
        </w:rPr>
      </w:pPr>
      <w:r w:rsidRPr="003003B3">
        <w:rPr>
          <w:sz w:val="24"/>
        </w:rPr>
        <w:t xml:space="preserve">Considerăm, că </w:t>
      </w:r>
      <w:r w:rsidRPr="00F414C7">
        <w:rPr>
          <w:b/>
          <w:bCs/>
          <w:sz w:val="24"/>
        </w:rPr>
        <w:t>operarea unor modificări atât de ample asupra legislației electorale, cu foarte puțin timp înainte de data alegerilor, ar crea un precedent inacceptabil în spațiul Uniunii Europene</w:t>
      </w:r>
      <w:r w:rsidRPr="003003B3">
        <w:rPr>
          <w:sz w:val="24"/>
        </w:rPr>
        <w:t xml:space="preserve">, cu efecte incalculabile pe termen lung ce ar putea altera în mod ireversibil fundamentele democrației </w:t>
      </w:r>
      <w:r w:rsidR="00295056">
        <w:rPr>
          <w:sz w:val="24"/>
        </w:rPr>
        <w:t xml:space="preserve">românești și </w:t>
      </w:r>
      <w:r w:rsidRPr="003003B3">
        <w:rPr>
          <w:sz w:val="24"/>
        </w:rPr>
        <w:t xml:space="preserve">europene. </w:t>
      </w:r>
    </w:p>
    <w:p w:rsidR="00CB18C4" w:rsidRPr="003003B3" w:rsidRDefault="0030249F" w:rsidP="004C3BF9">
      <w:pPr>
        <w:pStyle w:val="Bulet"/>
        <w:numPr>
          <w:ilvl w:val="0"/>
          <w:numId w:val="0"/>
        </w:numPr>
        <w:rPr>
          <w:sz w:val="24"/>
        </w:rPr>
      </w:pPr>
      <w:r w:rsidRPr="003003B3">
        <w:rPr>
          <w:sz w:val="24"/>
        </w:rPr>
        <w:t>Mai grav decât atât</w:t>
      </w:r>
      <w:r w:rsidR="00474680" w:rsidRPr="003003B3">
        <w:rPr>
          <w:sz w:val="24"/>
        </w:rPr>
        <w:t>,</w:t>
      </w:r>
      <w:r w:rsidRPr="003003B3">
        <w:rPr>
          <w:sz w:val="24"/>
        </w:rPr>
        <w:t xml:space="preserve"> este faptul că </w:t>
      </w:r>
      <w:r w:rsidRPr="00F414C7">
        <w:rPr>
          <w:b/>
          <w:bCs/>
          <w:sz w:val="24"/>
        </w:rPr>
        <w:t xml:space="preserve">Guvernul și-a anunțat public intenția de a face aceste modificări prin procedura angajării răspunderii, care practic ar anihila orice dezbatere </w:t>
      </w:r>
      <w:r w:rsidR="00295056">
        <w:rPr>
          <w:b/>
          <w:bCs/>
          <w:sz w:val="24"/>
        </w:rPr>
        <w:t>publică</w:t>
      </w:r>
      <w:r w:rsidR="007A08C6">
        <w:rPr>
          <w:b/>
          <w:bCs/>
          <w:sz w:val="24"/>
        </w:rPr>
        <w:t xml:space="preserve"> </w:t>
      </w:r>
      <w:r w:rsidR="00D51412">
        <w:rPr>
          <w:b/>
          <w:bCs/>
          <w:sz w:val="24"/>
        </w:rPr>
        <w:t xml:space="preserve">sau parlamentară </w:t>
      </w:r>
      <w:r w:rsidRPr="00F414C7">
        <w:rPr>
          <w:b/>
          <w:bCs/>
          <w:sz w:val="24"/>
        </w:rPr>
        <w:t>pe acest subiect atât de important pentru democrație și pentru existența statului de drept</w:t>
      </w:r>
      <w:r w:rsidR="00474680" w:rsidRPr="00F414C7">
        <w:rPr>
          <w:b/>
          <w:bCs/>
          <w:sz w:val="24"/>
        </w:rPr>
        <w:t xml:space="preserve"> din România</w:t>
      </w:r>
      <w:r w:rsidRPr="003003B3">
        <w:rPr>
          <w:sz w:val="24"/>
        </w:rPr>
        <w:t>. Așa cum ar</w:t>
      </w:r>
      <w:r w:rsidR="00474680" w:rsidRPr="003003B3">
        <w:rPr>
          <w:sz w:val="24"/>
        </w:rPr>
        <w:t>a</w:t>
      </w:r>
      <w:r w:rsidRPr="003003B3">
        <w:rPr>
          <w:sz w:val="24"/>
        </w:rPr>
        <w:t>tă ș</w:t>
      </w:r>
      <w:r w:rsidR="00CF4AC8" w:rsidRPr="003003B3">
        <w:rPr>
          <w:sz w:val="24"/>
        </w:rPr>
        <w:t>i Curtea Constituțională din România, angajarea răspunderii Guvernului este o procedură cu totul excepțională, care trebuie utilizată doar în situații care reclamă urgența legiferării, nicidecum atunci când se reglementează elementele și principiile fundamentale ale sistemului electoral.</w:t>
      </w:r>
    </w:p>
    <w:p w:rsidR="00BD16CF" w:rsidRPr="00BD16CF" w:rsidRDefault="00F414C7" w:rsidP="00F414C7">
      <w:pPr>
        <w:pStyle w:val="Bulet"/>
        <w:numPr>
          <w:ilvl w:val="0"/>
          <w:numId w:val="0"/>
        </w:numPr>
        <w:rPr>
          <w:sz w:val="24"/>
        </w:rPr>
      </w:pPr>
      <w:r w:rsidRPr="00B827D7">
        <w:rPr>
          <w:rFonts w:cs="Calibri"/>
          <w:sz w:val="24"/>
        </w:rPr>
        <w:t>Din păcate, disponibilitatea noastră</w:t>
      </w:r>
      <w:r w:rsidR="00BD16CF">
        <w:rPr>
          <w:rFonts w:cs="Calibri"/>
          <w:sz w:val="24"/>
        </w:rPr>
        <w:t xml:space="preserve"> la dialog</w:t>
      </w:r>
      <w:r w:rsidRPr="00B827D7">
        <w:rPr>
          <w:rFonts w:cs="Calibri"/>
          <w:sz w:val="24"/>
        </w:rPr>
        <w:t xml:space="preserve">, regulile democratice și principiile europene au fost ignorate de forțele politice care astăzi guvernează în România. </w:t>
      </w:r>
      <w:r w:rsidR="00BD16CF">
        <w:rPr>
          <w:sz w:val="24"/>
        </w:rPr>
        <w:t>A</w:t>
      </w:r>
      <w:r w:rsidR="00BD16CF" w:rsidRPr="003003B3">
        <w:rPr>
          <w:sz w:val="24"/>
        </w:rPr>
        <w:t xml:space="preserve">bordarea partidelor aflate acum la guvernare trădează mai degrabă un interes pur conjunctural, în tentația lor de a folosi abuziv puterea de stat, pentru a-și crea un avantaj propriu, fără nicio legătură cu interesul public și cu valorile fundamentale pe care a fost clădită democrația europeană. </w:t>
      </w:r>
    </w:p>
    <w:p w:rsidR="00F414C7" w:rsidRDefault="00F414C7" w:rsidP="00F414C7">
      <w:pPr>
        <w:pStyle w:val="Bulet"/>
        <w:numPr>
          <w:ilvl w:val="0"/>
          <w:numId w:val="0"/>
        </w:numPr>
        <w:rPr>
          <w:rFonts w:cs="Calibri"/>
          <w:b/>
          <w:bCs/>
          <w:sz w:val="24"/>
        </w:rPr>
      </w:pPr>
      <w:r w:rsidRPr="00B827D7">
        <w:rPr>
          <w:rFonts w:cs="Calibri"/>
          <w:b/>
          <w:bCs/>
          <w:sz w:val="24"/>
        </w:rPr>
        <w:t>Statul de drept este pus în pericol de acest abuz de putere nemaiîntâlnit în România.</w:t>
      </w:r>
      <w:r w:rsidRPr="00B827D7">
        <w:rPr>
          <w:rFonts w:cs="Calibri"/>
          <w:sz w:val="24"/>
        </w:rPr>
        <w:t xml:space="preserve"> În acest sens, </w:t>
      </w:r>
      <w:r w:rsidR="005E68A2">
        <w:rPr>
          <w:rFonts w:cs="Calibri"/>
          <w:b/>
          <w:bCs/>
          <w:sz w:val="24"/>
        </w:rPr>
        <w:t>fac apel</w:t>
      </w:r>
      <w:r w:rsidRPr="00B827D7">
        <w:rPr>
          <w:rFonts w:cs="Calibri"/>
          <w:b/>
          <w:bCs/>
          <w:sz w:val="24"/>
        </w:rPr>
        <w:t xml:space="preserve"> la autoritatea și experiența dumneavoastră personală, precum și la competențele instituției pe care o coordonați</w:t>
      </w:r>
      <w:r w:rsidR="00B21CCA">
        <w:rPr>
          <w:rFonts w:cs="Calibri"/>
          <w:b/>
          <w:bCs/>
          <w:sz w:val="24"/>
        </w:rPr>
        <w:t>,</w:t>
      </w:r>
      <w:r w:rsidRPr="00B827D7">
        <w:rPr>
          <w:rFonts w:cs="Calibri"/>
          <w:b/>
          <w:bCs/>
          <w:sz w:val="24"/>
        </w:rPr>
        <w:t xml:space="preserve"> astfel încât să întreprindeți toate măsurile necesare pentru a evita producerea un</w:t>
      </w:r>
      <w:r w:rsidR="00BD16CF">
        <w:rPr>
          <w:rFonts w:cs="Calibri"/>
          <w:b/>
          <w:bCs/>
          <w:sz w:val="24"/>
        </w:rPr>
        <w:t xml:space="preserve">ei încălcări flagrante a </w:t>
      </w:r>
      <w:r w:rsidRPr="00B827D7">
        <w:rPr>
          <w:rFonts w:cs="Calibri"/>
          <w:b/>
          <w:bCs/>
          <w:sz w:val="24"/>
        </w:rPr>
        <w:t>regulil</w:t>
      </w:r>
      <w:r w:rsidR="00BD16CF">
        <w:rPr>
          <w:rFonts w:cs="Calibri"/>
          <w:b/>
          <w:bCs/>
          <w:sz w:val="24"/>
        </w:rPr>
        <w:t>or</w:t>
      </w:r>
      <w:r w:rsidRPr="00B827D7">
        <w:rPr>
          <w:rFonts w:cs="Calibri"/>
          <w:b/>
          <w:bCs/>
          <w:sz w:val="24"/>
        </w:rPr>
        <w:t xml:space="preserve"> democratice acceptate de toți actorii politici din România în ultimii 30 de ani.</w:t>
      </w:r>
    </w:p>
    <w:p w:rsidR="00F414C7" w:rsidRDefault="00F414C7" w:rsidP="00F414C7">
      <w:pPr>
        <w:pStyle w:val="Bulet"/>
        <w:numPr>
          <w:ilvl w:val="0"/>
          <w:numId w:val="0"/>
        </w:numPr>
        <w:rPr>
          <w:rFonts w:cs="Calibri"/>
          <w:b/>
          <w:bCs/>
          <w:iCs/>
          <w:color w:val="FF0000"/>
          <w:sz w:val="24"/>
        </w:rPr>
      </w:pPr>
      <w:r w:rsidRPr="00B827D7">
        <w:rPr>
          <w:rFonts w:cs="Calibri"/>
          <w:iCs/>
          <w:sz w:val="24"/>
        </w:rPr>
        <w:t xml:space="preserve">În lumina celor subliniate anterior și a documentelor legale la care </w:t>
      </w:r>
      <w:r w:rsidR="00B21CCA">
        <w:rPr>
          <w:rFonts w:cs="Calibri"/>
          <w:iCs/>
          <w:sz w:val="24"/>
        </w:rPr>
        <w:t>facem referire</w:t>
      </w:r>
      <w:r w:rsidRPr="00B827D7">
        <w:rPr>
          <w:rFonts w:cs="Calibri"/>
          <w:iCs/>
          <w:sz w:val="24"/>
        </w:rPr>
        <w:t xml:space="preserve">, </w:t>
      </w:r>
      <w:r w:rsidRPr="00B827D7">
        <w:rPr>
          <w:rFonts w:cs="Calibri"/>
          <w:b/>
          <w:bCs/>
          <w:iCs/>
          <w:sz w:val="24"/>
        </w:rPr>
        <w:t xml:space="preserve">vă solicit sprijinul pentru a evita o astfel de situație care riscă să </w:t>
      </w:r>
      <w:proofErr w:type="spellStart"/>
      <w:r w:rsidRPr="00B827D7">
        <w:rPr>
          <w:rFonts w:cs="Calibri"/>
          <w:b/>
          <w:bCs/>
          <w:iCs/>
          <w:sz w:val="24"/>
        </w:rPr>
        <w:t>afectezeîncrederea</w:t>
      </w:r>
      <w:proofErr w:type="spellEnd"/>
      <w:r w:rsidRPr="00B827D7">
        <w:rPr>
          <w:rFonts w:cs="Calibri"/>
          <w:b/>
          <w:bCs/>
          <w:iCs/>
          <w:sz w:val="24"/>
        </w:rPr>
        <w:t xml:space="preserve"> în democrația românească.</w:t>
      </w:r>
      <w:r w:rsidRPr="00B827D7">
        <w:rPr>
          <w:rFonts w:cs="Calibri"/>
          <w:iCs/>
          <w:sz w:val="24"/>
        </w:rPr>
        <w:t xml:space="preserve"> O </w:t>
      </w:r>
      <w:r w:rsidR="00B21CCA">
        <w:rPr>
          <w:rFonts w:cs="Calibri"/>
          <w:iCs/>
          <w:sz w:val="24"/>
        </w:rPr>
        <w:t>asemenea</w:t>
      </w:r>
      <w:r w:rsidRPr="00B827D7">
        <w:rPr>
          <w:rFonts w:cs="Calibri"/>
          <w:iCs/>
          <w:sz w:val="24"/>
        </w:rPr>
        <w:t xml:space="preserve"> decizie</w:t>
      </w:r>
      <w:r w:rsidR="00B21CCA">
        <w:rPr>
          <w:rFonts w:cs="Calibri"/>
          <w:iCs/>
          <w:sz w:val="24"/>
        </w:rPr>
        <w:t xml:space="preserve">, dacă ar rămâne necontestată la nivel european, ar putea conduce </w:t>
      </w:r>
      <w:r w:rsidRPr="00B827D7">
        <w:rPr>
          <w:rFonts w:cs="Calibri"/>
          <w:iCs/>
          <w:sz w:val="24"/>
        </w:rPr>
        <w:t>spre o pantă autoritară pe care personal am dorit mereu să o evit, indiferent de cine ar fi fost autorul.</w:t>
      </w:r>
    </w:p>
    <w:p w:rsidR="00CA2F83" w:rsidRPr="003003B3" w:rsidRDefault="00F414C7" w:rsidP="004C3BF9">
      <w:pPr>
        <w:pStyle w:val="Bulet"/>
        <w:numPr>
          <w:ilvl w:val="0"/>
          <w:numId w:val="0"/>
        </w:numPr>
        <w:rPr>
          <w:sz w:val="24"/>
        </w:rPr>
      </w:pPr>
      <w:r w:rsidRPr="00B827D7">
        <w:rPr>
          <w:rFonts w:cs="Calibri"/>
          <w:iCs/>
          <w:sz w:val="24"/>
        </w:rPr>
        <w:t>În speranța unui răspuns rapid care să evite aceste modificări abuzive și unor demersuri care să ajute la consolidarea democrație</w:t>
      </w:r>
      <w:r w:rsidR="007A08C6">
        <w:rPr>
          <w:rFonts w:cs="Calibri"/>
          <w:iCs/>
          <w:sz w:val="24"/>
        </w:rPr>
        <w:t>i românești, vă asigur</w:t>
      </w:r>
      <w:r w:rsidR="008B6B08">
        <w:rPr>
          <w:rFonts w:cs="Calibri"/>
          <w:iCs/>
          <w:sz w:val="24"/>
        </w:rPr>
        <w:t xml:space="preserve"> </w:t>
      </w:r>
      <w:proofErr w:type="spellStart"/>
      <w:r w:rsidR="008B6B08">
        <w:rPr>
          <w:rFonts w:cs="Calibri"/>
          <w:iCs/>
          <w:sz w:val="24"/>
        </w:rPr>
        <w:t>Domnule</w:t>
      </w:r>
      <w:proofErr w:type="spellEnd"/>
      <w:r w:rsidR="008903B6">
        <w:rPr>
          <w:rFonts w:cs="Calibri"/>
          <w:iCs/>
          <w:sz w:val="24"/>
        </w:rPr>
        <w:t xml:space="preserve"> </w:t>
      </w:r>
      <w:r w:rsidR="008903B6">
        <w:rPr>
          <w:sz w:val="24"/>
        </w:rPr>
        <w:t xml:space="preserve">Gianni </w:t>
      </w:r>
      <w:proofErr w:type="spellStart"/>
      <w:r w:rsidR="008903B6">
        <w:rPr>
          <w:sz w:val="24"/>
        </w:rPr>
        <w:t>Buquicchio</w:t>
      </w:r>
      <w:proofErr w:type="spellEnd"/>
      <w:r w:rsidRPr="00B827D7">
        <w:rPr>
          <w:rFonts w:cs="Calibri"/>
          <w:iCs/>
          <w:sz w:val="24"/>
        </w:rPr>
        <w:t xml:space="preserve">, de întreaga mea disponibilitate </w:t>
      </w:r>
      <w:r w:rsidR="00B21CCA">
        <w:rPr>
          <w:rFonts w:cs="Calibri"/>
          <w:iCs/>
          <w:sz w:val="24"/>
        </w:rPr>
        <w:t>în</w:t>
      </w:r>
      <w:r w:rsidRPr="00B827D7">
        <w:rPr>
          <w:rFonts w:cs="Calibri"/>
          <w:iCs/>
          <w:sz w:val="24"/>
        </w:rPr>
        <w:t xml:space="preserve"> a lucra cu on</w:t>
      </w:r>
      <w:r w:rsidR="00653A16">
        <w:rPr>
          <w:rFonts w:cs="Calibri"/>
          <w:iCs/>
          <w:sz w:val="24"/>
        </w:rPr>
        <w:t>estitate împreună cu d</w:t>
      </w:r>
      <w:r w:rsidRPr="00B827D7">
        <w:rPr>
          <w:rFonts w:cs="Calibri"/>
          <w:iCs/>
          <w:sz w:val="24"/>
        </w:rPr>
        <w:t>umneavoastră pentru promovarea valorilor democratice</w:t>
      </w:r>
      <w:r w:rsidR="005E68A2">
        <w:rPr>
          <w:rFonts w:cs="Calibri"/>
          <w:iCs/>
          <w:sz w:val="24"/>
        </w:rPr>
        <w:t xml:space="preserve"> europene</w:t>
      </w:r>
      <w:r w:rsidRPr="00B827D7">
        <w:rPr>
          <w:rFonts w:cs="Calibri"/>
          <w:iCs/>
          <w:sz w:val="24"/>
        </w:rPr>
        <w:t xml:space="preserve"> în România.</w:t>
      </w:r>
    </w:p>
    <w:p w:rsidR="00CF4AC8" w:rsidRPr="003003B3" w:rsidRDefault="00CA2F83" w:rsidP="004C3BF9">
      <w:pPr>
        <w:pStyle w:val="Bulet"/>
        <w:numPr>
          <w:ilvl w:val="0"/>
          <w:numId w:val="0"/>
        </w:numPr>
        <w:rPr>
          <w:sz w:val="24"/>
        </w:rPr>
      </w:pPr>
      <w:r w:rsidRPr="003003B3">
        <w:rPr>
          <w:sz w:val="24"/>
        </w:rPr>
        <w:t>Vă prezint în anexa acestei scrisori principalele aspecte de ordin constituțional</w:t>
      </w:r>
      <w:r w:rsidR="00B21CCA">
        <w:rPr>
          <w:sz w:val="24"/>
        </w:rPr>
        <w:t xml:space="preserve"> și principial</w:t>
      </w:r>
      <w:r w:rsidRPr="003003B3">
        <w:rPr>
          <w:sz w:val="24"/>
        </w:rPr>
        <w:t xml:space="preserve"> ce ar trebui luate în considerare în analiza și evaluarea situației prezentate </w:t>
      </w:r>
      <w:r w:rsidR="00B21CCA">
        <w:rPr>
          <w:sz w:val="24"/>
        </w:rPr>
        <w:t>în această scrisoare</w:t>
      </w:r>
      <w:r w:rsidRPr="003003B3">
        <w:rPr>
          <w:sz w:val="24"/>
        </w:rPr>
        <w:t>.</w:t>
      </w:r>
    </w:p>
    <w:p w:rsidR="00BD16CF" w:rsidRDefault="00BD16CF" w:rsidP="00BD16CF">
      <w:pPr>
        <w:pStyle w:val="Bulet"/>
        <w:numPr>
          <w:ilvl w:val="0"/>
          <w:numId w:val="0"/>
        </w:numPr>
        <w:jc w:val="right"/>
        <w:rPr>
          <w:sz w:val="24"/>
        </w:rPr>
      </w:pPr>
    </w:p>
    <w:p w:rsidR="00CA2F83" w:rsidRPr="003003B3" w:rsidRDefault="00CA2F83" w:rsidP="00BD16CF">
      <w:pPr>
        <w:pStyle w:val="Bulet"/>
        <w:numPr>
          <w:ilvl w:val="0"/>
          <w:numId w:val="0"/>
        </w:numPr>
        <w:jc w:val="right"/>
        <w:rPr>
          <w:sz w:val="24"/>
        </w:rPr>
      </w:pPr>
      <w:r w:rsidRPr="003003B3">
        <w:rPr>
          <w:sz w:val="24"/>
        </w:rPr>
        <w:t xml:space="preserve">Cu deosebită stimă, </w:t>
      </w:r>
    </w:p>
    <w:p w:rsidR="00831EAB" w:rsidRDefault="00831EAB" w:rsidP="00BD16CF">
      <w:pPr>
        <w:pStyle w:val="Bulet"/>
        <w:numPr>
          <w:ilvl w:val="0"/>
          <w:numId w:val="0"/>
        </w:numPr>
        <w:jc w:val="right"/>
        <w:rPr>
          <w:sz w:val="24"/>
        </w:rPr>
      </w:pPr>
    </w:p>
    <w:p w:rsidR="00CA2F83" w:rsidRPr="003003B3" w:rsidRDefault="00CA2F83" w:rsidP="00BD16CF">
      <w:pPr>
        <w:pStyle w:val="Bulet"/>
        <w:numPr>
          <w:ilvl w:val="0"/>
          <w:numId w:val="0"/>
        </w:numPr>
        <w:jc w:val="right"/>
        <w:rPr>
          <w:sz w:val="24"/>
        </w:rPr>
      </w:pPr>
      <w:r w:rsidRPr="003003B3">
        <w:rPr>
          <w:sz w:val="24"/>
        </w:rPr>
        <w:t>Marcel Ciolacu</w:t>
      </w:r>
    </w:p>
    <w:p w:rsidR="003003B3" w:rsidRDefault="00475E3A" w:rsidP="004C3BF9">
      <w:pPr>
        <w:pStyle w:val="Bulet"/>
        <w:numPr>
          <w:ilvl w:val="0"/>
          <w:numId w:val="0"/>
        </w:numPr>
        <w:rPr>
          <w:sz w:val="24"/>
        </w:rPr>
      </w:pPr>
      <w:r>
        <w:rPr>
          <w:sz w:val="24"/>
        </w:rPr>
        <w:t xml:space="preserve">                                                                 Președintele Camerei Deputaților a Parlamentului României</w:t>
      </w:r>
    </w:p>
    <w:p w:rsidR="003003B3" w:rsidRDefault="003003B3" w:rsidP="003003B3">
      <w:pPr>
        <w:pStyle w:val="Titlu31"/>
        <w:pageBreakBefore/>
      </w:pPr>
      <w:r>
        <w:lastRenderedPageBreak/>
        <w:t>Anexa</w:t>
      </w:r>
    </w:p>
    <w:p w:rsidR="003003B3" w:rsidRDefault="003003B3" w:rsidP="003003B3">
      <w:pPr>
        <w:pStyle w:val="Titlu41"/>
        <w:numPr>
          <w:ilvl w:val="0"/>
          <w:numId w:val="16"/>
        </w:numPr>
      </w:pPr>
      <w:r>
        <w:t>Poziția Comisiei de la Veneția cu privire la realizarea unor modificări legislative ale sistemului electoral, cu foarte puțin timp înainte de alegeri</w:t>
      </w:r>
    </w:p>
    <w:p w:rsidR="003003B3" w:rsidRDefault="003003B3" w:rsidP="003003B3">
      <w:pPr>
        <w:pStyle w:val="Text"/>
        <w:numPr>
          <w:ilvl w:val="1"/>
          <w:numId w:val="20"/>
        </w:numPr>
        <w:rPr>
          <w:b/>
        </w:rPr>
      </w:pPr>
      <w:r w:rsidRPr="003003B3">
        <w:rPr>
          <w:b/>
        </w:rPr>
        <w:t>Codul de bune practici în materie electorală</w:t>
      </w:r>
    </w:p>
    <w:p w:rsidR="003003B3" w:rsidRPr="003003B3" w:rsidRDefault="003003B3" w:rsidP="003003B3">
      <w:pPr>
        <w:spacing w:after="120" w:line="240" w:lineRule="auto"/>
        <w:ind w:left="1080"/>
        <w:jc w:val="both"/>
        <w:rPr>
          <w:sz w:val="24"/>
          <w:szCs w:val="24"/>
        </w:rPr>
      </w:pPr>
      <w:r w:rsidRPr="003003B3">
        <w:rPr>
          <w:i/>
          <w:sz w:val="24"/>
          <w:szCs w:val="24"/>
          <w:shd w:val="clear" w:color="auto" w:fill="FFFFFF"/>
        </w:rPr>
        <w:t>”</w:t>
      </w:r>
      <w:r>
        <w:rPr>
          <w:i/>
          <w:sz w:val="24"/>
          <w:szCs w:val="24"/>
        </w:rPr>
        <w:t>M</w:t>
      </w:r>
      <w:r w:rsidRPr="003003B3">
        <w:rPr>
          <w:i/>
          <w:sz w:val="24"/>
          <w:szCs w:val="24"/>
        </w:rPr>
        <w:t xml:space="preserve">odificarea frecventă a normelor sau caracterul lor complex pot dezorienta alegătorul. Alegătorul poate conchide, în mod corect sau incorect, că dreptul electoral este doar un instrument cu care operează cei care sunt la putere </w:t>
      </w:r>
      <w:proofErr w:type="spellStart"/>
      <w:r w:rsidRPr="003003B3">
        <w:rPr>
          <w:i/>
          <w:sz w:val="24"/>
          <w:szCs w:val="24"/>
        </w:rPr>
        <w:t>şi</w:t>
      </w:r>
      <w:proofErr w:type="spellEnd"/>
      <w:r w:rsidRPr="003003B3">
        <w:rPr>
          <w:i/>
          <w:sz w:val="24"/>
          <w:szCs w:val="24"/>
        </w:rPr>
        <w:t xml:space="preserve"> că votul alegătorului nu mai este elementul </w:t>
      </w:r>
      <w:proofErr w:type="spellStart"/>
      <w:r w:rsidRPr="003003B3">
        <w:rPr>
          <w:i/>
          <w:sz w:val="24"/>
          <w:szCs w:val="24"/>
        </w:rPr>
        <w:t>esenţial</w:t>
      </w:r>
      <w:proofErr w:type="spellEnd"/>
      <w:r w:rsidRPr="003003B3">
        <w:rPr>
          <w:i/>
          <w:sz w:val="24"/>
          <w:szCs w:val="24"/>
        </w:rPr>
        <w:t xml:space="preserve"> care decide rezultatul scrutinului”</w:t>
      </w:r>
      <w:r w:rsidRPr="003003B3">
        <w:rPr>
          <w:sz w:val="24"/>
          <w:szCs w:val="24"/>
        </w:rPr>
        <w:t xml:space="preserve"> (pct. 63), respectiv că </w:t>
      </w:r>
      <w:r w:rsidRPr="003003B3">
        <w:rPr>
          <w:i/>
          <w:sz w:val="24"/>
          <w:szCs w:val="24"/>
          <w:shd w:val="clear" w:color="auto" w:fill="FFFFFF"/>
        </w:rPr>
        <w:t>"</w:t>
      </w:r>
      <w:r w:rsidRPr="003003B3">
        <w:rPr>
          <w:b/>
          <w:i/>
          <w:sz w:val="24"/>
          <w:szCs w:val="24"/>
          <w:u w:val="single"/>
        </w:rPr>
        <w:t xml:space="preserve">Ceea ce trebuie evitat, este nu atât modificarea sistemelor de scrutin - ele pot fi întotdeauna </w:t>
      </w:r>
      <w:proofErr w:type="spellStart"/>
      <w:r w:rsidRPr="003003B3">
        <w:rPr>
          <w:b/>
          <w:i/>
          <w:sz w:val="24"/>
          <w:szCs w:val="24"/>
          <w:u w:val="single"/>
        </w:rPr>
        <w:t>îmbunătăţite</w:t>
      </w:r>
      <w:proofErr w:type="spellEnd"/>
      <w:r w:rsidRPr="003003B3">
        <w:rPr>
          <w:b/>
          <w:i/>
          <w:sz w:val="24"/>
          <w:szCs w:val="24"/>
          <w:u w:val="single"/>
        </w:rPr>
        <w:t xml:space="preserve"> – ci modificarea lor frecventă sau cu puțin timp (mai puțin de un an) înainte de alegeri. Chiar în </w:t>
      </w:r>
      <w:proofErr w:type="spellStart"/>
      <w:r w:rsidRPr="003003B3">
        <w:rPr>
          <w:b/>
          <w:i/>
          <w:sz w:val="24"/>
          <w:szCs w:val="24"/>
          <w:u w:val="single"/>
        </w:rPr>
        <w:t>absenţa</w:t>
      </w:r>
      <w:proofErr w:type="spellEnd"/>
      <w:r w:rsidRPr="003003B3">
        <w:rPr>
          <w:b/>
          <w:i/>
          <w:sz w:val="24"/>
          <w:szCs w:val="24"/>
          <w:u w:val="single"/>
        </w:rPr>
        <w:t xml:space="preserve"> unei </w:t>
      </w:r>
      <w:proofErr w:type="spellStart"/>
      <w:r w:rsidRPr="003003B3">
        <w:rPr>
          <w:b/>
          <w:i/>
          <w:sz w:val="24"/>
          <w:szCs w:val="24"/>
          <w:u w:val="single"/>
        </w:rPr>
        <w:t>intenţii</w:t>
      </w:r>
      <w:proofErr w:type="spellEnd"/>
      <w:r w:rsidRPr="003003B3">
        <w:rPr>
          <w:b/>
          <w:i/>
          <w:sz w:val="24"/>
          <w:szCs w:val="24"/>
          <w:u w:val="single"/>
        </w:rPr>
        <w:t xml:space="preserve"> de manipulare, modificările vor fi dictate de interesele iminente ale partidului politic.</w:t>
      </w:r>
      <w:r w:rsidRPr="003003B3">
        <w:rPr>
          <w:b/>
          <w:i/>
          <w:sz w:val="24"/>
          <w:szCs w:val="24"/>
          <w:u w:val="single"/>
          <w:shd w:val="clear" w:color="auto" w:fill="FFFFFF"/>
        </w:rPr>
        <w:t>"</w:t>
      </w:r>
      <w:r w:rsidRPr="003003B3">
        <w:rPr>
          <w:sz w:val="24"/>
          <w:szCs w:val="24"/>
          <w:shd w:val="clear" w:color="auto" w:fill="FFFFFF"/>
        </w:rPr>
        <w:t xml:space="preserve"> (pct. 65) </w:t>
      </w:r>
      <w:r>
        <w:rPr>
          <w:rStyle w:val="FootnoteReference"/>
          <w:sz w:val="24"/>
          <w:szCs w:val="24"/>
          <w:shd w:val="clear" w:color="auto" w:fill="FFFFFF"/>
        </w:rPr>
        <w:footnoteReference w:id="1"/>
      </w:r>
    </w:p>
    <w:p w:rsidR="003003B3" w:rsidRPr="003003B3" w:rsidRDefault="003003B3" w:rsidP="003003B3">
      <w:pPr>
        <w:spacing w:after="120" w:line="240" w:lineRule="auto"/>
        <w:ind w:left="1080"/>
        <w:jc w:val="both"/>
        <w:rPr>
          <w:rFonts w:ascii="Calibri" w:hAnsi="Calibri" w:cs="Calibri"/>
          <w:i/>
          <w:sz w:val="24"/>
          <w:szCs w:val="24"/>
        </w:rPr>
      </w:pPr>
      <w:r w:rsidRPr="003003B3">
        <w:rPr>
          <w:rFonts w:ascii="Calibri" w:hAnsi="Calibri" w:cs="Calibri"/>
          <w:i/>
          <w:sz w:val="24"/>
          <w:szCs w:val="24"/>
          <w:shd w:val="clear" w:color="auto" w:fill="FFFFFF"/>
        </w:rPr>
        <w:t>„</w:t>
      </w:r>
      <w:r w:rsidRPr="003003B3">
        <w:rPr>
          <w:rFonts w:ascii="Calibri" w:hAnsi="Calibri" w:cs="Calibri"/>
          <w:i/>
          <w:sz w:val="24"/>
          <w:szCs w:val="24"/>
        </w:rPr>
        <w:t xml:space="preserve">Elementele fundamentale ale dreptului electoral, </w:t>
      </w:r>
      <w:r w:rsidR="00BD16CF">
        <w:rPr>
          <w:rFonts w:ascii="Calibri" w:hAnsi="Calibri" w:cs="Calibri"/>
          <w:i/>
          <w:sz w:val="24"/>
          <w:szCs w:val="24"/>
        </w:rPr>
        <w:t>ș</w:t>
      </w:r>
      <w:r w:rsidRPr="003003B3">
        <w:rPr>
          <w:rFonts w:ascii="Calibri" w:hAnsi="Calibri" w:cs="Calibri"/>
          <w:i/>
          <w:sz w:val="24"/>
          <w:szCs w:val="24"/>
        </w:rPr>
        <w:t xml:space="preserve">i </w:t>
      </w:r>
      <w:proofErr w:type="spellStart"/>
      <w:r w:rsidRPr="003003B3">
        <w:rPr>
          <w:rFonts w:ascii="Calibri" w:hAnsi="Calibri" w:cs="Calibri"/>
          <w:b/>
          <w:i/>
          <w:sz w:val="24"/>
          <w:szCs w:val="24"/>
        </w:rPr>
        <w:t>în</w:t>
      </w:r>
      <w:proofErr w:type="spellEnd"/>
      <w:r w:rsidRPr="003003B3">
        <w:rPr>
          <w:rFonts w:ascii="Calibri" w:hAnsi="Calibri" w:cs="Calibri"/>
          <w:b/>
          <w:i/>
          <w:sz w:val="24"/>
          <w:szCs w:val="24"/>
        </w:rPr>
        <w:t xml:space="preserve"> special sistemul electoral propriu zis</w:t>
      </w:r>
      <w:r w:rsidRPr="003003B3">
        <w:rPr>
          <w:rFonts w:ascii="Calibri" w:hAnsi="Calibri" w:cs="Calibri"/>
          <w:i/>
          <w:sz w:val="24"/>
          <w:szCs w:val="24"/>
        </w:rPr>
        <w:t xml:space="preserve">, </w:t>
      </w:r>
      <w:proofErr w:type="spellStart"/>
      <w:r w:rsidRPr="003003B3">
        <w:rPr>
          <w:rFonts w:ascii="Calibri" w:hAnsi="Calibri" w:cs="Calibri"/>
          <w:i/>
          <w:sz w:val="24"/>
          <w:szCs w:val="24"/>
        </w:rPr>
        <w:t>componenţa</w:t>
      </w:r>
      <w:proofErr w:type="spellEnd"/>
      <w:r w:rsidRPr="003003B3">
        <w:rPr>
          <w:rFonts w:ascii="Calibri" w:hAnsi="Calibri" w:cs="Calibri"/>
          <w:i/>
          <w:sz w:val="24"/>
          <w:szCs w:val="24"/>
        </w:rPr>
        <w:t xml:space="preserve"> comisiilor electorale </w:t>
      </w:r>
      <w:r w:rsidR="00BD16CF">
        <w:rPr>
          <w:rFonts w:ascii="Calibri" w:hAnsi="Calibri" w:cs="Calibri"/>
          <w:i/>
          <w:sz w:val="24"/>
          <w:szCs w:val="24"/>
        </w:rPr>
        <w:t>ș</w:t>
      </w:r>
      <w:r w:rsidRPr="003003B3">
        <w:rPr>
          <w:rFonts w:ascii="Calibri" w:hAnsi="Calibri" w:cs="Calibri"/>
          <w:i/>
          <w:sz w:val="24"/>
          <w:szCs w:val="24"/>
        </w:rPr>
        <w:t xml:space="preserve">i delimitarea </w:t>
      </w:r>
      <w:proofErr w:type="spellStart"/>
      <w:r w:rsidRPr="003003B3">
        <w:rPr>
          <w:rFonts w:ascii="Calibri" w:hAnsi="Calibri" w:cs="Calibri"/>
          <w:i/>
          <w:sz w:val="24"/>
          <w:szCs w:val="24"/>
        </w:rPr>
        <w:t>circumscripţiilor</w:t>
      </w:r>
      <w:proofErr w:type="spellEnd"/>
      <w:r w:rsidRPr="003003B3">
        <w:rPr>
          <w:rFonts w:ascii="Calibri" w:hAnsi="Calibri" w:cs="Calibri"/>
          <w:i/>
          <w:sz w:val="24"/>
          <w:szCs w:val="24"/>
        </w:rPr>
        <w:t xml:space="preserve"> electorale, </w:t>
      </w:r>
      <w:r w:rsidRPr="003003B3">
        <w:rPr>
          <w:rFonts w:ascii="Calibri" w:hAnsi="Calibri" w:cs="Calibri"/>
          <w:b/>
          <w:i/>
          <w:sz w:val="24"/>
          <w:szCs w:val="24"/>
        </w:rPr>
        <w:t xml:space="preserve">nu ar trebui să </w:t>
      </w:r>
      <w:proofErr w:type="spellStart"/>
      <w:r w:rsidRPr="003003B3">
        <w:rPr>
          <w:rFonts w:ascii="Calibri" w:hAnsi="Calibri" w:cs="Calibri"/>
          <w:b/>
          <w:i/>
          <w:sz w:val="24"/>
          <w:szCs w:val="24"/>
        </w:rPr>
        <w:t>poata</w:t>
      </w:r>
      <w:proofErr w:type="spellEnd"/>
      <w:r w:rsidRPr="003003B3">
        <w:rPr>
          <w:rFonts w:ascii="Calibri" w:hAnsi="Calibri" w:cs="Calibri"/>
          <w:b/>
          <w:i/>
          <w:sz w:val="24"/>
          <w:szCs w:val="24"/>
        </w:rPr>
        <w:t xml:space="preserve">̆ fi amendate cu mai puțin de un an </w:t>
      </w:r>
      <w:proofErr w:type="spellStart"/>
      <w:r w:rsidRPr="003003B3">
        <w:rPr>
          <w:rFonts w:ascii="Calibri" w:hAnsi="Calibri" w:cs="Calibri"/>
          <w:b/>
          <w:i/>
          <w:sz w:val="24"/>
          <w:szCs w:val="24"/>
        </w:rPr>
        <w:t>înainte</w:t>
      </w:r>
      <w:proofErr w:type="spellEnd"/>
      <w:r w:rsidRPr="003003B3">
        <w:rPr>
          <w:rFonts w:ascii="Calibri" w:hAnsi="Calibri" w:cs="Calibri"/>
          <w:b/>
          <w:i/>
          <w:sz w:val="24"/>
          <w:szCs w:val="24"/>
        </w:rPr>
        <w:t xml:space="preserve"> de alegeri</w:t>
      </w:r>
      <w:r w:rsidRPr="003003B3">
        <w:rPr>
          <w:rFonts w:ascii="Calibri" w:hAnsi="Calibri" w:cs="Calibri"/>
          <w:i/>
          <w:sz w:val="24"/>
          <w:szCs w:val="24"/>
        </w:rPr>
        <w:t xml:space="preserve">, sau ar trebui sa fie tratate la nivel </w:t>
      </w:r>
      <w:proofErr w:type="spellStart"/>
      <w:r w:rsidRPr="003003B3">
        <w:rPr>
          <w:rFonts w:ascii="Calibri" w:hAnsi="Calibri" w:cs="Calibri"/>
          <w:i/>
          <w:sz w:val="24"/>
          <w:szCs w:val="24"/>
        </w:rPr>
        <w:t>constituţional</w:t>
      </w:r>
      <w:proofErr w:type="spellEnd"/>
      <w:r w:rsidRPr="003003B3">
        <w:rPr>
          <w:rFonts w:ascii="Calibri" w:hAnsi="Calibri" w:cs="Calibri"/>
          <w:i/>
          <w:sz w:val="24"/>
          <w:szCs w:val="24"/>
        </w:rPr>
        <w:t xml:space="preserve"> sau la un nivel superior legii ordinare.</w:t>
      </w:r>
      <w:r w:rsidR="004C480C" w:rsidRPr="004C480C">
        <w:rPr>
          <w:bCs/>
          <w:iCs/>
          <w:sz w:val="24"/>
          <w:szCs w:val="24"/>
          <w:shd w:val="clear" w:color="auto" w:fill="FFFFFF"/>
        </w:rPr>
        <w:t>"</w:t>
      </w:r>
      <w:r w:rsidRPr="003003B3">
        <w:rPr>
          <w:rStyle w:val="FootnoteReference"/>
          <w:rFonts w:ascii="Calibri" w:hAnsi="Calibri" w:cs="Calibri"/>
          <w:i/>
          <w:sz w:val="24"/>
          <w:szCs w:val="24"/>
        </w:rPr>
        <w:footnoteReference w:id="2"/>
      </w:r>
    </w:p>
    <w:p w:rsidR="003003B3" w:rsidRDefault="003003B3" w:rsidP="003003B3">
      <w:pPr>
        <w:pStyle w:val="Text"/>
        <w:numPr>
          <w:ilvl w:val="1"/>
          <w:numId w:val="20"/>
        </w:numPr>
        <w:rPr>
          <w:b/>
        </w:rPr>
      </w:pPr>
      <w:r>
        <w:rPr>
          <w:b/>
        </w:rPr>
        <w:t xml:space="preserve">Poziția exprimată în data de 14 aprilie 2016, de secretarul general al Comisiei de la Veneția, Thomas Market, în contextul unei alte tentative ale puterii politice din România de a modifica în mod similar sistemul electoral, pentru a permite alegerile în două tururi de scrutin, cu mai puțin de un an înainte de alegeri. </w:t>
      </w:r>
    </w:p>
    <w:p w:rsidR="003003B3" w:rsidRPr="003003B3" w:rsidRDefault="003003B3" w:rsidP="003003B3">
      <w:pPr>
        <w:spacing w:after="120" w:line="240" w:lineRule="auto"/>
        <w:ind w:left="1080"/>
        <w:jc w:val="both"/>
        <w:rPr>
          <w:rFonts w:ascii="Calibri" w:hAnsi="Calibri" w:cs="Calibri"/>
          <w:i/>
          <w:sz w:val="24"/>
          <w:szCs w:val="24"/>
        </w:rPr>
      </w:pPr>
      <w:r w:rsidRPr="003003B3">
        <w:rPr>
          <w:rFonts w:ascii="Calibri" w:hAnsi="Calibri" w:cs="Calibri"/>
          <w:i/>
          <w:sz w:val="24"/>
          <w:szCs w:val="24"/>
        </w:rPr>
        <w:t xml:space="preserve">”Cred că, în cazul României, decizia de a schimba sistemul electoral este una politică și </w:t>
      </w:r>
      <w:r w:rsidRPr="003003B3">
        <w:rPr>
          <w:rFonts w:ascii="Calibri" w:hAnsi="Calibri" w:cs="Calibri"/>
          <w:b/>
          <w:i/>
          <w:sz w:val="24"/>
          <w:szCs w:val="24"/>
        </w:rPr>
        <w:t>acest lucru nu ar trebui făcut chiar înainte de alegerile electorale</w:t>
      </w:r>
      <w:r w:rsidRPr="003003B3">
        <w:rPr>
          <w:rFonts w:ascii="Calibri" w:hAnsi="Calibri" w:cs="Calibri"/>
          <w:i/>
          <w:sz w:val="24"/>
          <w:szCs w:val="24"/>
        </w:rPr>
        <w:t xml:space="preserve">. Comisia de la Veneția spune că </w:t>
      </w:r>
      <w:r w:rsidRPr="003003B3">
        <w:rPr>
          <w:rFonts w:ascii="Calibri" w:hAnsi="Calibri" w:cs="Calibri"/>
          <w:b/>
          <w:i/>
          <w:sz w:val="24"/>
          <w:szCs w:val="24"/>
        </w:rPr>
        <w:t>elementele majore ale sistemului electoral nu trebuie schimbate în anul dinaintea alegerilor</w:t>
      </w:r>
      <w:r w:rsidRPr="003003B3">
        <w:rPr>
          <w:rFonts w:ascii="Calibri" w:hAnsi="Calibri" w:cs="Calibri"/>
          <w:i/>
          <w:sz w:val="24"/>
          <w:szCs w:val="24"/>
        </w:rPr>
        <w:t xml:space="preserve">. Motivul este că </w:t>
      </w:r>
      <w:r w:rsidRPr="003003B3">
        <w:rPr>
          <w:rFonts w:ascii="Calibri" w:hAnsi="Calibri" w:cs="Calibri"/>
          <w:b/>
          <w:i/>
          <w:sz w:val="24"/>
          <w:szCs w:val="24"/>
        </w:rPr>
        <w:t>pe măsură ce alegerile se apropie, partidele politice pot să evalueze foarte bine care sunt schimbările care le-ar putea fi favorabile sau nu</w:t>
      </w:r>
      <w:r w:rsidRPr="003003B3">
        <w:rPr>
          <w:rFonts w:ascii="Calibri" w:hAnsi="Calibri" w:cs="Calibri"/>
          <w:i/>
          <w:sz w:val="24"/>
          <w:szCs w:val="24"/>
        </w:rPr>
        <w:t xml:space="preserve">. </w:t>
      </w:r>
      <w:r w:rsidRPr="003003B3">
        <w:rPr>
          <w:rFonts w:ascii="Calibri" w:hAnsi="Calibri" w:cs="Calibri"/>
          <w:b/>
          <w:i/>
          <w:sz w:val="24"/>
          <w:szCs w:val="24"/>
        </w:rPr>
        <w:t>Cu cât se apropie data alegerilor, cu atât mai mult crește tentația de a schimba sistemul electoral pentru ca partidele să obțină avantaje</w:t>
      </w:r>
      <w:r w:rsidRPr="003003B3">
        <w:rPr>
          <w:rFonts w:ascii="Calibri" w:hAnsi="Calibri" w:cs="Calibri"/>
          <w:i/>
          <w:sz w:val="24"/>
          <w:szCs w:val="24"/>
        </w:rPr>
        <w:t>. Prin urmare, momentul potrivit pentru schimbarea legislației este după alegerile electorale, când data următoarelor alegeri electorale este îndepărtată. Atunci se poate discuta cu calm, fiind un moment în care nu se poate aprecia ce schimbări vor favoriza un partid sau altul. Respectând toate standardele, în anul care precedă alegerile trebuie evitate schimbările majore de legislație electorală”.</w:t>
      </w:r>
    </w:p>
    <w:p w:rsidR="003003B3" w:rsidRDefault="003003B3" w:rsidP="003003B3">
      <w:pPr>
        <w:pStyle w:val="Titlu41"/>
        <w:numPr>
          <w:ilvl w:val="0"/>
          <w:numId w:val="16"/>
        </w:numPr>
      </w:pPr>
      <w:r>
        <w:lastRenderedPageBreak/>
        <w:t xml:space="preserve">Jurisprudența Curții Constituționale din România cu privire la modificarea legislației electorale cu mai puțin de un an înainte de alegeri. </w:t>
      </w:r>
    </w:p>
    <w:p w:rsidR="003003B3" w:rsidRPr="003003B3" w:rsidRDefault="003003B3" w:rsidP="00831EAB">
      <w:pPr>
        <w:pStyle w:val="Text"/>
        <w:keepNext/>
        <w:ind w:left="720" w:firstLine="357"/>
      </w:pPr>
      <w:r w:rsidRPr="003003B3">
        <w:rPr>
          <w:b/>
        </w:rPr>
        <w:t>Decizia nr. 51/2012</w:t>
      </w:r>
    </w:p>
    <w:p w:rsidR="003003B3" w:rsidRPr="003003B3" w:rsidRDefault="003003B3" w:rsidP="00831EAB">
      <w:pPr>
        <w:pStyle w:val="ListParagraph"/>
        <w:spacing w:after="120" w:line="240" w:lineRule="auto"/>
        <w:ind w:left="1080"/>
        <w:jc w:val="both"/>
        <w:rPr>
          <w:i/>
          <w:sz w:val="24"/>
          <w:szCs w:val="24"/>
        </w:rPr>
      </w:pPr>
      <w:r w:rsidRPr="00F209CB">
        <w:rPr>
          <w:i/>
          <w:sz w:val="24"/>
          <w:szCs w:val="24"/>
          <w:shd w:val="clear" w:color="auto" w:fill="FFFFFF"/>
        </w:rPr>
        <w:t>”</w:t>
      </w:r>
      <w:r w:rsidRPr="00F209CB">
        <w:rPr>
          <w:i/>
          <w:sz w:val="24"/>
          <w:szCs w:val="24"/>
        </w:rPr>
        <w:t xml:space="preserve">Dreptul la alegeri libere impune respectarea unor exigențe, între care și aceea a stabilității normelor juridice în domeniul electoral. Într-un plan mai larg, stabilitatea acestor norme constituie o expresie a principiului securității juridice, instituit, implicit, de art. 1 alin. (5) din Constituție, principiu care exprimă în esență faptul că cetățenii trebuie protejați contra unui pericol care vine chiar din partea dreptului, contra unei insecurități pe care a creat-o dreptul sau pe care acesta riscă s-o creeze, impunând ca legea să fie accesibilă </w:t>
      </w:r>
      <w:r w:rsidRPr="00F477BB">
        <w:rPr>
          <w:b/>
          <w:i/>
          <w:sz w:val="24"/>
          <w:szCs w:val="24"/>
        </w:rPr>
        <w:t>și previzibilă</w:t>
      </w:r>
      <w:r w:rsidRPr="00F209CB">
        <w:rPr>
          <w:i/>
          <w:sz w:val="24"/>
          <w:szCs w:val="24"/>
        </w:rPr>
        <w:t xml:space="preserve">. Într-o bogată jurisprudență, Curtea Europeană a Drepturilor Omului a subliniat importanța asigurării accesibilității și previzibilității legii, </w:t>
      </w:r>
      <w:r w:rsidRPr="00F477BB">
        <w:rPr>
          <w:b/>
          <w:i/>
          <w:sz w:val="24"/>
          <w:szCs w:val="24"/>
        </w:rPr>
        <w:t>inclusiv sub aspectul stabilității acesteia</w:t>
      </w:r>
      <w:r w:rsidRPr="00F209CB">
        <w:rPr>
          <w:i/>
          <w:sz w:val="24"/>
          <w:szCs w:val="24"/>
        </w:rPr>
        <w:t xml:space="preserve">, instituind și o serie de repere pe care legiuitorul trebuie să le aibă în vedere pentru asigurarea acestor exigențe (cauze precum Sunday Times contra Regatului Unit al Marii Britanii și Irlandei de Nord, 1979, </w:t>
      </w:r>
      <w:proofErr w:type="spellStart"/>
      <w:r w:rsidRPr="00F209CB">
        <w:rPr>
          <w:i/>
          <w:sz w:val="24"/>
          <w:szCs w:val="24"/>
        </w:rPr>
        <w:t>Rekvenyi</w:t>
      </w:r>
      <w:proofErr w:type="spellEnd"/>
      <w:r w:rsidRPr="00F209CB">
        <w:rPr>
          <w:i/>
          <w:sz w:val="24"/>
          <w:szCs w:val="24"/>
        </w:rPr>
        <w:t xml:space="preserve"> contra Ungariei, 1999, Rotaru împotriva României, 2000, </w:t>
      </w:r>
      <w:proofErr w:type="spellStart"/>
      <w:r w:rsidRPr="00F209CB">
        <w:rPr>
          <w:i/>
          <w:sz w:val="24"/>
          <w:szCs w:val="24"/>
        </w:rPr>
        <w:t>Damman</w:t>
      </w:r>
      <w:proofErr w:type="spellEnd"/>
      <w:r w:rsidRPr="00F209CB">
        <w:rPr>
          <w:i/>
          <w:sz w:val="24"/>
          <w:szCs w:val="24"/>
        </w:rPr>
        <w:t xml:space="preserve"> împotriva Elveției, 2005).</w:t>
      </w:r>
    </w:p>
    <w:p w:rsidR="003003B3" w:rsidRDefault="003003B3" w:rsidP="00831EAB">
      <w:pPr>
        <w:pStyle w:val="ListParagraph"/>
        <w:spacing w:after="120" w:line="240" w:lineRule="auto"/>
        <w:ind w:left="1080"/>
        <w:jc w:val="both"/>
        <w:rPr>
          <w:i/>
          <w:sz w:val="24"/>
          <w:szCs w:val="24"/>
          <w:shd w:val="clear" w:color="auto" w:fill="FFFFFF"/>
        </w:rPr>
      </w:pPr>
      <w:r w:rsidRPr="003003B3">
        <w:rPr>
          <w:i/>
          <w:sz w:val="24"/>
          <w:szCs w:val="24"/>
          <w:shd w:val="clear" w:color="auto" w:fill="FFFFFF"/>
        </w:rPr>
        <w:t>Or, legea criticată, modificând cu mai puțin de un an înaintea alegerilor procedura de desfășurare a acestora, se abate de la dispozițiile invocate. O asemenea modificare legislativă intempestivă poate fi de natură să creeze dificultăți suplimentare autorităților însărcinate cu aplicarea sa, sub aspectul adaptării la procedura nou instituită și operațiunile de ordin tehnic pe care aceasta le presupune.”</w:t>
      </w:r>
    </w:p>
    <w:p w:rsidR="003003B3" w:rsidRDefault="003003B3" w:rsidP="00831EAB">
      <w:pPr>
        <w:pStyle w:val="ListParagraph"/>
        <w:spacing w:after="120" w:line="240" w:lineRule="auto"/>
        <w:ind w:left="1080"/>
        <w:jc w:val="both"/>
        <w:rPr>
          <w:i/>
          <w:sz w:val="24"/>
          <w:szCs w:val="24"/>
          <w:shd w:val="clear" w:color="auto" w:fill="FFFFFF"/>
        </w:rPr>
      </w:pPr>
    </w:p>
    <w:p w:rsidR="003003B3" w:rsidRDefault="003003B3" w:rsidP="00831EAB">
      <w:pPr>
        <w:pStyle w:val="ListParagraph"/>
        <w:spacing w:after="120" w:line="240" w:lineRule="auto"/>
        <w:ind w:left="1080"/>
        <w:jc w:val="both"/>
        <w:rPr>
          <w:i/>
          <w:sz w:val="24"/>
          <w:szCs w:val="24"/>
          <w:shd w:val="clear" w:color="auto" w:fill="FFFFFF"/>
        </w:rPr>
      </w:pPr>
      <w:r w:rsidRPr="00F209CB">
        <w:rPr>
          <w:b/>
          <w:i/>
          <w:sz w:val="24"/>
          <w:szCs w:val="24"/>
          <w:shd w:val="clear" w:color="auto" w:fill="FFFFFF"/>
        </w:rPr>
        <w:t>”</w:t>
      </w:r>
      <w:r>
        <w:rPr>
          <w:b/>
          <w:i/>
          <w:sz w:val="24"/>
          <w:szCs w:val="24"/>
          <w:shd w:val="clear" w:color="auto" w:fill="FFFFFF"/>
        </w:rPr>
        <w:t>nu</w:t>
      </w:r>
      <w:r w:rsidRPr="00F209CB">
        <w:rPr>
          <w:b/>
          <w:i/>
          <w:sz w:val="24"/>
          <w:szCs w:val="24"/>
          <w:shd w:val="clear" w:color="auto" w:fill="FFFFFF"/>
        </w:rPr>
        <w:t xml:space="preserve"> se pot constitui însă în argumente care să susțină, în orice condiții, restrângeri ale exercițiului unor drepturi sau ale unor libertăți sau care să susțină măsuri de natură a afecta principii fundamentale ale statului de drept</w:t>
      </w:r>
      <w:r w:rsidRPr="00F209CB">
        <w:rPr>
          <w:i/>
          <w:sz w:val="24"/>
          <w:szCs w:val="24"/>
          <w:shd w:val="clear" w:color="auto" w:fill="FFFFFF"/>
        </w:rPr>
        <w:t>”</w:t>
      </w:r>
      <w:r w:rsidRPr="00F209CB">
        <w:rPr>
          <w:sz w:val="24"/>
          <w:szCs w:val="24"/>
          <w:shd w:val="clear" w:color="auto" w:fill="FFFFFF"/>
        </w:rPr>
        <w:t xml:space="preserve">, respectiv că </w:t>
      </w:r>
      <w:r w:rsidRPr="00F209CB">
        <w:rPr>
          <w:i/>
          <w:sz w:val="24"/>
          <w:szCs w:val="24"/>
          <w:shd w:val="clear" w:color="auto" w:fill="FFFFFF"/>
        </w:rPr>
        <w:t>”</w:t>
      </w:r>
      <w:r w:rsidRPr="00F209CB">
        <w:rPr>
          <w:b/>
          <w:i/>
          <w:sz w:val="24"/>
          <w:szCs w:val="24"/>
          <w:shd w:val="clear" w:color="auto" w:fill="FFFFFF"/>
        </w:rPr>
        <w:t>organizarea la aceeași dată a celor două categorii de alegeri determină</w:t>
      </w:r>
      <w:r>
        <w:rPr>
          <w:b/>
          <w:i/>
          <w:sz w:val="24"/>
          <w:szCs w:val="24"/>
          <w:shd w:val="clear" w:color="auto" w:fill="FFFFFF"/>
        </w:rPr>
        <w:t xml:space="preserve"> încălcarea dreptului de a fi ales</w:t>
      </w:r>
      <w:r w:rsidRPr="00F209CB">
        <w:rPr>
          <w:i/>
          <w:sz w:val="24"/>
          <w:szCs w:val="24"/>
          <w:shd w:val="clear" w:color="auto" w:fill="FFFFFF"/>
        </w:rPr>
        <w:t>, prevăzut de art. 37 din Constituție. Aceasta întrucât există situații în care un candidat care nu a câștigat un mandat de ales local (primar sau președinte de consiliu județean) să își exprime dorința de a participa la alegerile naționale pentru un mandat de parlamentar (deputat sau senator), lucru perfect posibil, dar numai în cazul unor alegeri care se desfășoară la date diferite. Or, legea criticată prevede că, în cazul organizării și desfășurării alegerilor pentru Parlament la aceeași dată cu alegerile pentru autoritățile administrației publice locale, o persoană nu poate candida în același timp pentru funcția de primar și pentru un mandat de deputat sau de senator și nici pentru funcția de președinte al consiliului județean și pentru un mandat de deputat sau de senator.”</w:t>
      </w:r>
    </w:p>
    <w:p w:rsidR="003003B3" w:rsidRDefault="003003B3" w:rsidP="003003B3">
      <w:pPr>
        <w:pStyle w:val="ListParagraph"/>
        <w:spacing w:after="120" w:line="240" w:lineRule="auto"/>
        <w:ind w:left="360"/>
        <w:jc w:val="both"/>
        <w:rPr>
          <w:sz w:val="24"/>
          <w:szCs w:val="24"/>
        </w:rPr>
      </w:pPr>
    </w:p>
    <w:p w:rsidR="003003B3" w:rsidRDefault="00831EAB" w:rsidP="003003B3">
      <w:pPr>
        <w:pStyle w:val="Titlu41"/>
        <w:numPr>
          <w:ilvl w:val="0"/>
          <w:numId w:val="16"/>
        </w:numPr>
      </w:pPr>
      <w:r>
        <w:t>JURISPRUDENȚA CURȚII CONSTITUȚIONALE CU PRIVIRE LA PROCEDURA ANGAJĂRII RĂSPUNDERII GUVERNULUI ÎN FAȚA PARLAMENTULUI</w:t>
      </w:r>
    </w:p>
    <w:p w:rsidR="003003B3" w:rsidRDefault="003003B3" w:rsidP="003003B3">
      <w:pPr>
        <w:pStyle w:val="ListParagraph"/>
        <w:spacing w:after="120" w:line="240" w:lineRule="auto"/>
        <w:ind w:left="360"/>
        <w:jc w:val="both"/>
        <w:rPr>
          <w:sz w:val="24"/>
          <w:szCs w:val="24"/>
          <w:shd w:val="clear" w:color="auto" w:fill="FFFFFF"/>
        </w:rPr>
      </w:pPr>
      <w:r>
        <w:t xml:space="preserve">Procedura este reglementată prin </w:t>
      </w:r>
      <w:r w:rsidRPr="00F209CB">
        <w:rPr>
          <w:sz w:val="24"/>
          <w:szCs w:val="24"/>
          <w:shd w:val="clear" w:color="auto" w:fill="FFFFFF"/>
        </w:rPr>
        <w:t>art. 114 alin. (1) din Constituție, potrivit cărora "</w:t>
      </w:r>
      <w:r w:rsidRPr="00F209CB">
        <w:rPr>
          <w:i/>
          <w:sz w:val="24"/>
          <w:szCs w:val="24"/>
          <w:shd w:val="clear" w:color="auto" w:fill="FFFFFF"/>
        </w:rPr>
        <w:t>Guvernul își poate angaja răspunderea în fața Camerei Deputaților și a Senatului, în ședință comună, asupra unui program, a unei declarații de politică generală sau a unui proiect de lege."</w:t>
      </w:r>
    </w:p>
    <w:p w:rsidR="003003B3" w:rsidRDefault="003003B3" w:rsidP="00831EAB">
      <w:pPr>
        <w:pStyle w:val="Text"/>
        <w:numPr>
          <w:ilvl w:val="1"/>
          <w:numId w:val="22"/>
        </w:numPr>
        <w:ind w:left="1134"/>
        <w:rPr>
          <w:b/>
        </w:rPr>
      </w:pPr>
      <w:r w:rsidRPr="003003B3">
        <w:rPr>
          <w:b/>
        </w:rPr>
        <w:t>Decizia Curții Constituționale nr. 1.557/2009</w:t>
      </w:r>
    </w:p>
    <w:p w:rsidR="003003B3" w:rsidRPr="003003B3" w:rsidRDefault="00831EAB" w:rsidP="00831EAB">
      <w:pPr>
        <w:pStyle w:val="ListParagraph"/>
        <w:spacing w:after="120" w:line="240" w:lineRule="auto"/>
        <w:ind w:left="1134"/>
        <w:jc w:val="both"/>
        <w:rPr>
          <w:rFonts w:eastAsia="Times New Roman"/>
          <w:sz w:val="24"/>
          <w:szCs w:val="24"/>
        </w:rPr>
      </w:pPr>
      <w:r>
        <w:rPr>
          <w:rFonts w:eastAsia="Times New Roman"/>
          <w:sz w:val="24"/>
          <w:szCs w:val="24"/>
        </w:rPr>
        <w:t>La această</w:t>
      </w:r>
      <w:r w:rsidR="003003B3" w:rsidRPr="003003B3">
        <w:rPr>
          <w:rFonts w:eastAsia="Times New Roman"/>
          <w:sz w:val="24"/>
          <w:szCs w:val="24"/>
        </w:rPr>
        <w:t xml:space="preserve"> modalitate simplificată de legiferare </w:t>
      </w:r>
      <w:r w:rsidR="003003B3" w:rsidRPr="003003B3">
        <w:rPr>
          <w:rFonts w:eastAsia="Times New Roman"/>
          <w:i/>
          <w:sz w:val="24"/>
          <w:szCs w:val="24"/>
        </w:rPr>
        <w:t xml:space="preserve">"trebuie să se ajungă in extremis atunci când </w:t>
      </w:r>
      <w:r w:rsidR="003003B3" w:rsidRPr="003003B3">
        <w:rPr>
          <w:b/>
          <w:i/>
          <w:sz w:val="24"/>
          <w:szCs w:val="24"/>
          <w:shd w:val="clear" w:color="auto" w:fill="FFFFFF"/>
        </w:rPr>
        <w:t>adoptarea</w:t>
      </w:r>
      <w:r w:rsidR="003003B3" w:rsidRPr="003003B3">
        <w:rPr>
          <w:rFonts w:eastAsia="Times New Roman"/>
          <w:i/>
          <w:sz w:val="24"/>
          <w:szCs w:val="24"/>
        </w:rPr>
        <w:t xml:space="preserve"> proiectului de lege în procedura obișnuită sau în procedura de urgență </w:t>
      </w:r>
      <w:r w:rsidR="003003B3" w:rsidRPr="003003B3">
        <w:rPr>
          <w:rFonts w:eastAsia="Times New Roman"/>
          <w:i/>
          <w:sz w:val="24"/>
          <w:szCs w:val="24"/>
        </w:rPr>
        <w:lastRenderedPageBreak/>
        <w:t>nu mai este posibilă ori atunci când structura politică a Parlamentului nu permite adoptarea proiectului de lege în procedura uzuală sau de urgență."</w:t>
      </w:r>
    </w:p>
    <w:p w:rsidR="003003B3" w:rsidRPr="00831EAB" w:rsidRDefault="003003B3" w:rsidP="00831EAB">
      <w:pPr>
        <w:pStyle w:val="ListParagraph"/>
        <w:spacing w:after="120" w:line="240" w:lineRule="auto"/>
        <w:ind w:left="1134"/>
        <w:jc w:val="both"/>
        <w:rPr>
          <w:rFonts w:eastAsia="Times New Roman"/>
          <w:i/>
          <w:sz w:val="24"/>
          <w:szCs w:val="24"/>
        </w:rPr>
      </w:pPr>
      <w:r w:rsidRPr="003003B3">
        <w:rPr>
          <w:rFonts w:eastAsia="Times New Roman"/>
          <w:sz w:val="24"/>
          <w:szCs w:val="24"/>
        </w:rPr>
        <w:t>Prin aceeași decizie, Curtea a mai statuat că "</w:t>
      </w:r>
      <w:r w:rsidRPr="003003B3">
        <w:rPr>
          <w:rFonts w:eastAsia="Times New Roman"/>
          <w:i/>
          <w:sz w:val="24"/>
          <w:szCs w:val="24"/>
        </w:rPr>
        <w:t>angajarea răspunderii Guvernului asupra unui proiect de lege urmărește ca acesta să fie adoptat în condiții de maximă celeritate, conținutul reglementării vizând stabilirea unor măsuri urgente într-un domeniu de maximă importanță, iar aplicarea acestora trebuie să fie imediată. [...] Prin urmare, chiar dacă la prima vedere posibilitatea angajării răspunderii nu este supusă niciunei condiții, oportunitatea și conținutul inițiativei rămânând teoretic la aprecierea exclusivă a Guvernului, acest lucru nu poate fi absolut, pentru că exclusivitatea Guvernului este opozabilă numai Parlamentului, și nu Curții Constituționale ca garant al supremației Legii fundamentale".</w:t>
      </w:r>
    </w:p>
    <w:p w:rsidR="003003B3" w:rsidRDefault="003003B3" w:rsidP="00831EAB">
      <w:pPr>
        <w:pStyle w:val="Text"/>
        <w:numPr>
          <w:ilvl w:val="1"/>
          <w:numId w:val="22"/>
        </w:numPr>
        <w:ind w:left="1134"/>
        <w:rPr>
          <w:b/>
        </w:rPr>
      </w:pPr>
      <w:r w:rsidRPr="003003B3">
        <w:rPr>
          <w:b/>
        </w:rPr>
        <w:t>Decizia </w:t>
      </w:r>
      <w:r>
        <w:rPr>
          <w:b/>
        </w:rPr>
        <w:t xml:space="preserve">Curții Constituționale </w:t>
      </w:r>
      <w:hyperlink r:id="rId8" w:tgtFrame="_blank" w:history="1">
        <w:r w:rsidRPr="003003B3">
          <w:rPr>
            <w:b/>
          </w:rPr>
          <w:t>nr. 1.431</w:t>
        </w:r>
      </w:hyperlink>
      <w:r w:rsidRPr="003003B3">
        <w:rPr>
          <w:b/>
        </w:rPr>
        <w:t>/2010</w:t>
      </w:r>
    </w:p>
    <w:p w:rsidR="00831EAB" w:rsidRPr="00831EAB" w:rsidRDefault="00831EAB" w:rsidP="00831EAB">
      <w:pPr>
        <w:pStyle w:val="ListParagraph"/>
        <w:spacing w:after="120" w:line="240" w:lineRule="auto"/>
        <w:ind w:left="1134"/>
        <w:jc w:val="both"/>
        <w:rPr>
          <w:rFonts w:eastAsia="Times New Roman"/>
          <w:i/>
          <w:sz w:val="24"/>
          <w:szCs w:val="24"/>
        </w:rPr>
      </w:pPr>
      <w:r w:rsidRPr="00831EAB">
        <w:rPr>
          <w:rFonts w:eastAsia="Times New Roman"/>
          <w:i/>
          <w:sz w:val="24"/>
          <w:szCs w:val="24"/>
        </w:rPr>
        <w:t>„Acceptarea ideii potrivit căreia Guvernul își poate angaja răspunderea asupra unui proiect de lege în mod discreționar, oricând și în orice condiții, ar echivala cu transformarea acestei autorități în autoritate publică legiuitoare, concurentă cu Parlamentul în ceea ce privește atribuția de legiferare".</w:t>
      </w:r>
    </w:p>
    <w:p w:rsidR="00831EAB" w:rsidRPr="00831EAB" w:rsidRDefault="00831EAB" w:rsidP="00831EAB">
      <w:pPr>
        <w:pStyle w:val="ListParagraph"/>
        <w:spacing w:after="120" w:line="240" w:lineRule="auto"/>
        <w:ind w:left="1134"/>
        <w:jc w:val="both"/>
        <w:rPr>
          <w:rFonts w:eastAsia="Times New Roman"/>
          <w:i/>
          <w:sz w:val="24"/>
          <w:szCs w:val="24"/>
        </w:rPr>
      </w:pPr>
      <w:r w:rsidRPr="00831EAB">
        <w:rPr>
          <w:rFonts w:eastAsia="Times New Roman"/>
          <w:i/>
          <w:sz w:val="24"/>
          <w:szCs w:val="24"/>
        </w:rPr>
        <w:t>În considerarea acestor rațiuni, Curtea Constituțională a stabilit, pe cale jurisprudențială (Decizia </w:t>
      </w:r>
      <w:hyperlink r:id="rId9" w:tgtFrame="_blank" w:history="1">
        <w:r w:rsidRPr="00831EAB">
          <w:rPr>
            <w:rFonts w:eastAsia="Times New Roman"/>
            <w:i/>
            <w:sz w:val="24"/>
            <w:szCs w:val="24"/>
          </w:rPr>
          <w:t>nr. 1.655</w:t>
        </w:r>
      </w:hyperlink>
      <w:r w:rsidRPr="00831EAB">
        <w:rPr>
          <w:rFonts w:eastAsia="Times New Roman"/>
          <w:i/>
          <w:sz w:val="24"/>
          <w:szCs w:val="24"/>
        </w:rPr>
        <w:t>/2010), criteriile a căror respectare este impusă de art. 114 din Constituție, respectiv:</w:t>
      </w:r>
    </w:p>
    <w:p w:rsidR="00831EAB" w:rsidRPr="00831EAB" w:rsidRDefault="00831EAB" w:rsidP="00831EAB">
      <w:pPr>
        <w:pStyle w:val="ListParagraph"/>
        <w:spacing w:after="120" w:line="240" w:lineRule="auto"/>
        <w:ind w:left="1134"/>
        <w:jc w:val="both"/>
        <w:rPr>
          <w:rFonts w:eastAsia="Times New Roman"/>
          <w:i/>
          <w:sz w:val="24"/>
          <w:szCs w:val="24"/>
        </w:rPr>
      </w:pPr>
      <w:r w:rsidRPr="00831EAB">
        <w:rPr>
          <w:rFonts w:eastAsia="Times New Roman"/>
          <w:i/>
          <w:sz w:val="24"/>
          <w:szCs w:val="24"/>
        </w:rPr>
        <w:t>"- existența unei urgențe în adoptarea măsurilor conținute în legea asupra căreia Guvernul și-a angajat răspunderea;</w:t>
      </w:r>
    </w:p>
    <w:p w:rsidR="00831EAB" w:rsidRPr="00831EAB" w:rsidRDefault="00831EAB" w:rsidP="00831EAB">
      <w:pPr>
        <w:pStyle w:val="ListParagraph"/>
        <w:spacing w:after="120" w:line="240" w:lineRule="auto"/>
        <w:ind w:left="1134"/>
        <w:jc w:val="both"/>
        <w:rPr>
          <w:rFonts w:eastAsia="Times New Roman"/>
          <w:i/>
          <w:sz w:val="24"/>
          <w:szCs w:val="24"/>
        </w:rPr>
      </w:pPr>
      <w:r w:rsidRPr="00831EAB">
        <w:rPr>
          <w:rFonts w:eastAsia="Times New Roman"/>
          <w:i/>
          <w:sz w:val="24"/>
          <w:szCs w:val="24"/>
        </w:rPr>
        <w:t>- necesitatea ca reglementarea în cauză să fie adoptată cu maximă celeritate;</w:t>
      </w:r>
    </w:p>
    <w:p w:rsidR="00831EAB" w:rsidRPr="00831EAB" w:rsidRDefault="00831EAB" w:rsidP="00831EAB">
      <w:pPr>
        <w:pStyle w:val="ListParagraph"/>
        <w:spacing w:after="120" w:line="240" w:lineRule="auto"/>
        <w:ind w:left="1134"/>
        <w:jc w:val="both"/>
        <w:rPr>
          <w:rFonts w:eastAsia="Times New Roman"/>
          <w:i/>
          <w:sz w:val="24"/>
          <w:szCs w:val="24"/>
        </w:rPr>
      </w:pPr>
      <w:r w:rsidRPr="00831EAB">
        <w:rPr>
          <w:rFonts w:eastAsia="Times New Roman"/>
          <w:i/>
          <w:sz w:val="24"/>
          <w:szCs w:val="24"/>
        </w:rPr>
        <w:t>- importanța domeniului reglementat;</w:t>
      </w:r>
    </w:p>
    <w:p w:rsidR="00831EAB" w:rsidRPr="00831EAB" w:rsidRDefault="00831EAB" w:rsidP="00831EAB">
      <w:pPr>
        <w:pStyle w:val="ListParagraph"/>
        <w:spacing w:after="120" w:line="240" w:lineRule="auto"/>
        <w:ind w:left="1134"/>
        <w:jc w:val="both"/>
        <w:rPr>
          <w:rFonts w:eastAsia="Times New Roman"/>
          <w:i/>
          <w:sz w:val="24"/>
          <w:szCs w:val="24"/>
        </w:rPr>
      </w:pPr>
      <w:r w:rsidRPr="00831EAB">
        <w:rPr>
          <w:rFonts w:eastAsia="Times New Roman"/>
          <w:i/>
          <w:sz w:val="24"/>
          <w:szCs w:val="24"/>
        </w:rPr>
        <w:t>- aplicarea imediată a legii în cauză."</w:t>
      </w:r>
    </w:p>
    <w:p w:rsidR="00831EAB" w:rsidRDefault="00831EAB" w:rsidP="00831EAB">
      <w:pPr>
        <w:pStyle w:val="ListParagraph"/>
        <w:spacing w:after="120" w:line="240" w:lineRule="auto"/>
        <w:ind w:left="1134"/>
        <w:jc w:val="both"/>
        <w:rPr>
          <w:rFonts w:eastAsia="Times New Roman"/>
          <w:i/>
          <w:sz w:val="24"/>
          <w:szCs w:val="24"/>
        </w:rPr>
      </w:pPr>
      <w:r w:rsidRPr="00831EAB">
        <w:rPr>
          <w:rFonts w:eastAsia="Times New Roman"/>
          <w:i/>
          <w:sz w:val="24"/>
          <w:szCs w:val="24"/>
        </w:rPr>
        <w:t>Art. 115 alin. (6) din Constituție – ”Ordonanțele de urgență nu pot fi adoptate în domeniul legilor constituționale, NU pot afecta regimul instituțiilor fundamentale ale statului, drepturile, libertățile și îndatoririle prevăzute de Constituție, drepturile electorale și nu pot viza măsuri de trecere silită a unor bunuri în proprietate publică.”</w:t>
      </w:r>
    </w:p>
    <w:p w:rsidR="00831EAB" w:rsidRDefault="00831EAB" w:rsidP="00831EAB">
      <w:pPr>
        <w:pStyle w:val="ListParagraph"/>
        <w:spacing w:after="120" w:line="240" w:lineRule="auto"/>
        <w:ind w:left="1276"/>
        <w:jc w:val="both"/>
        <w:rPr>
          <w:rFonts w:eastAsia="Times New Roman"/>
          <w:i/>
          <w:sz w:val="24"/>
          <w:szCs w:val="24"/>
        </w:rPr>
      </w:pPr>
    </w:p>
    <w:p w:rsidR="00831EAB" w:rsidRDefault="00831EAB" w:rsidP="00831EAB">
      <w:pPr>
        <w:pStyle w:val="Titlu41"/>
        <w:numPr>
          <w:ilvl w:val="0"/>
          <w:numId w:val="16"/>
        </w:numPr>
      </w:pPr>
      <w:r w:rsidRPr="00831EAB">
        <w:t>JURISPRUDENȚA CURȚII CONSTITUȚIONALE CU PRIVIRE LA ORGANIZAREA ALEGERILOR LOCALE ÎN ACELAȘI TIMP CU ALEGERILE PARLAMENTARE</w:t>
      </w:r>
    </w:p>
    <w:p w:rsidR="00831EAB" w:rsidRPr="00831EAB" w:rsidRDefault="00831EAB" w:rsidP="00831EAB">
      <w:pPr>
        <w:pStyle w:val="Text"/>
        <w:ind w:left="1134"/>
      </w:pPr>
      <w:r>
        <w:rPr>
          <w:i/>
          <w:sz w:val="24"/>
          <w:shd w:val="clear" w:color="auto" w:fill="FFFFFF"/>
        </w:rPr>
        <w:t>O astfel de</w:t>
      </w:r>
      <w:r w:rsidRPr="00F209CB">
        <w:rPr>
          <w:i/>
          <w:sz w:val="24"/>
          <w:shd w:val="clear" w:color="auto" w:fill="FFFFFF"/>
        </w:rPr>
        <w:t xml:space="preserve"> reglementare </w:t>
      </w:r>
      <w:r>
        <w:rPr>
          <w:i/>
          <w:sz w:val="24"/>
          <w:shd w:val="clear" w:color="auto" w:fill="FFFFFF"/>
        </w:rPr>
        <w:t>„</w:t>
      </w:r>
      <w:r w:rsidRPr="00F209CB">
        <w:rPr>
          <w:i/>
          <w:sz w:val="24"/>
          <w:shd w:val="clear" w:color="auto" w:fill="FFFFFF"/>
        </w:rPr>
        <w:t xml:space="preserve">este de natură să determine </w:t>
      </w:r>
      <w:r>
        <w:rPr>
          <w:i/>
          <w:sz w:val="24"/>
          <w:shd w:val="clear" w:color="auto" w:fill="FFFFFF"/>
        </w:rPr>
        <w:t>dificultăți</w:t>
      </w:r>
      <w:r w:rsidRPr="00F209CB">
        <w:rPr>
          <w:i/>
          <w:sz w:val="24"/>
          <w:shd w:val="clear" w:color="auto" w:fill="FFFFFF"/>
        </w:rPr>
        <w:t xml:space="preserve"> în exercitarea dreptului de vot, dificultăți care pot avea ca efect, în cele din urmă, </w:t>
      </w:r>
      <w:proofErr w:type="spellStart"/>
      <w:r>
        <w:rPr>
          <w:i/>
          <w:sz w:val="24"/>
          <w:shd w:val="clear" w:color="auto" w:fill="FFFFFF"/>
        </w:rPr>
        <w:t>restrângereaexercițiulu</w:t>
      </w:r>
      <w:r w:rsidRPr="00F209CB">
        <w:rPr>
          <w:i/>
          <w:sz w:val="24"/>
          <w:shd w:val="clear" w:color="auto" w:fill="FFFFFF"/>
        </w:rPr>
        <w:t>i</w:t>
      </w:r>
      <w:proofErr w:type="spellEnd"/>
      <w:r w:rsidRPr="00F209CB">
        <w:rPr>
          <w:i/>
          <w:sz w:val="24"/>
          <w:shd w:val="clear" w:color="auto" w:fill="FFFFFF"/>
        </w:rPr>
        <w:t xml:space="preserve"> acestui drept”</w:t>
      </w:r>
      <w:r w:rsidRPr="00F209CB">
        <w:rPr>
          <w:sz w:val="24"/>
          <w:shd w:val="clear" w:color="auto" w:fill="FFFFFF"/>
        </w:rPr>
        <w:t xml:space="preserve">, instanța de control constituțional reținând că </w:t>
      </w:r>
      <w:r w:rsidRPr="00F209CB">
        <w:rPr>
          <w:i/>
          <w:sz w:val="24"/>
          <w:shd w:val="clear" w:color="auto" w:fill="FFFFFF"/>
        </w:rPr>
        <w:t xml:space="preserve">”o procedură greoaie de vot, determinată de numărul mare de buletine de vot, ca și autoritățile publice diferite cu privire la care alegătorii trebuie să își manifeste în același timp opțiunea, pot avea ca efect </w:t>
      </w:r>
      <w:r>
        <w:rPr>
          <w:i/>
          <w:sz w:val="24"/>
          <w:shd w:val="clear" w:color="auto" w:fill="FFFFFF"/>
        </w:rPr>
        <w:t>împiedicarea liberei exprimări a opiniei</w:t>
      </w:r>
      <w:r w:rsidRPr="00F209CB">
        <w:rPr>
          <w:i/>
          <w:sz w:val="24"/>
          <w:shd w:val="clear" w:color="auto" w:fill="FFFFFF"/>
        </w:rPr>
        <w:t xml:space="preserve"> acestora.”</w:t>
      </w:r>
    </w:p>
    <w:p w:rsidR="00831EAB" w:rsidRPr="00831EAB" w:rsidRDefault="00831EAB" w:rsidP="00831EAB">
      <w:pPr>
        <w:pStyle w:val="Text"/>
      </w:pPr>
    </w:p>
    <w:sectPr w:rsidR="00831EAB" w:rsidRPr="00831EAB" w:rsidSect="003003B3">
      <w:footerReference w:type="even" r:id="rId10"/>
      <w:footerReference w:type="default" r:id="rId11"/>
      <w:pgSz w:w="11900" w:h="16840"/>
      <w:pgMar w:top="1417" w:right="84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F06" w:rsidRDefault="00081F06" w:rsidP="002F1D0F">
      <w:r>
        <w:separator/>
      </w:r>
    </w:p>
  </w:endnote>
  <w:endnote w:type="continuationSeparator" w:id="0">
    <w:p w:rsidR="00081F06" w:rsidRDefault="00081F06" w:rsidP="002F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D0F" w:rsidRDefault="00224AC2" w:rsidP="0037159F">
    <w:pPr>
      <w:pStyle w:val="Footer"/>
      <w:framePr w:wrap="none" w:vAnchor="text" w:hAnchor="margin" w:xAlign="center" w:y="1"/>
      <w:rPr>
        <w:rStyle w:val="PageNumber"/>
      </w:rPr>
    </w:pPr>
    <w:r>
      <w:rPr>
        <w:rStyle w:val="PageNumber"/>
      </w:rPr>
      <w:fldChar w:fldCharType="begin"/>
    </w:r>
    <w:r w:rsidR="002F1D0F">
      <w:rPr>
        <w:rStyle w:val="PageNumber"/>
      </w:rPr>
      <w:instrText xml:space="preserve">PAGE  </w:instrText>
    </w:r>
    <w:r>
      <w:rPr>
        <w:rStyle w:val="PageNumber"/>
      </w:rPr>
      <w:fldChar w:fldCharType="end"/>
    </w:r>
  </w:p>
  <w:p w:rsidR="002F1D0F" w:rsidRDefault="002F1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D0F" w:rsidRPr="002F1D0F" w:rsidRDefault="00224AC2" w:rsidP="0037159F">
    <w:pPr>
      <w:pStyle w:val="Footer"/>
      <w:framePr w:wrap="none" w:vAnchor="text" w:hAnchor="margin" w:xAlign="center" w:y="1"/>
      <w:rPr>
        <w:rStyle w:val="PageNumber"/>
        <w:b/>
        <w:color w:val="7F7F7F" w:themeColor="text1" w:themeTint="80"/>
      </w:rPr>
    </w:pPr>
    <w:r w:rsidRPr="002F1D0F">
      <w:rPr>
        <w:rStyle w:val="PageNumber"/>
        <w:b/>
        <w:color w:val="7F7F7F" w:themeColor="text1" w:themeTint="80"/>
      </w:rPr>
      <w:fldChar w:fldCharType="begin"/>
    </w:r>
    <w:r w:rsidR="002F1D0F" w:rsidRPr="002F1D0F">
      <w:rPr>
        <w:rStyle w:val="PageNumber"/>
        <w:b/>
        <w:color w:val="7F7F7F" w:themeColor="text1" w:themeTint="80"/>
      </w:rPr>
      <w:instrText xml:space="preserve">PAGE  </w:instrText>
    </w:r>
    <w:r w:rsidRPr="002F1D0F">
      <w:rPr>
        <w:rStyle w:val="PageNumber"/>
        <w:b/>
        <w:color w:val="7F7F7F" w:themeColor="text1" w:themeTint="80"/>
      </w:rPr>
      <w:fldChar w:fldCharType="separate"/>
    </w:r>
    <w:r w:rsidR="00653A16">
      <w:rPr>
        <w:rStyle w:val="PageNumber"/>
        <w:b/>
        <w:noProof/>
        <w:color w:val="7F7F7F" w:themeColor="text1" w:themeTint="80"/>
      </w:rPr>
      <w:t>2</w:t>
    </w:r>
    <w:r w:rsidRPr="002F1D0F">
      <w:rPr>
        <w:rStyle w:val="PageNumber"/>
        <w:b/>
        <w:color w:val="7F7F7F" w:themeColor="text1" w:themeTint="80"/>
      </w:rPr>
      <w:fldChar w:fldCharType="end"/>
    </w:r>
  </w:p>
  <w:p w:rsidR="002F1D0F" w:rsidRDefault="002F1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F06" w:rsidRDefault="00081F06" w:rsidP="002F1D0F">
      <w:r>
        <w:separator/>
      </w:r>
    </w:p>
  </w:footnote>
  <w:footnote w:type="continuationSeparator" w:id="0">
    <w:p w:rsidR="00081F06" w:rsidRDefault="00081F06" w:rsidP="002F1D0F">
      <w:r>
        <w:continuationSeparator/>
      </w:r>
    </w:p>
  </w:footnote>
  <w:footnote w:id="1">
    <w:p w:rsidR="003003B3" w:rsidRPr="00F477BB" w:rsidRDefault="003003B3" w:rsidP="003003B3">
      <w:pPr>
        <w:pStyle w:val="FootnoteText"/>
        <w:rPr>
          <w:lang w:val="ro-RO"/>
        </w:rPr>
      </w:pPr>
      <w:r>
        <w:rPr>
          <w:rStyle w:val="FootnoteReference"/>
        </w:rPr>
        <w:footnoteRef/>
      </w:r>
      <w:r w:rsidRPr="005469F9">
        <w:rPr>
          <w:sz w:val="24"/>
          <w:szCs w:val="24"/>
          <w:shd w:val="clear" w:color="auto" w:fill="FFFFFF"/>
          <w:lang w:val="ro-RO"/>
        </w:rPr>
        <w:t>Linii directoare și raport explicativ, adoptat de Comisia Europeană pentru Democrație prin Drept în cadrul celei de-a 52-a Sesiuni Plenare</w:t>
      </w:r>
      <w:r w:rsidRPr="00433738">
        <w:rPr>
          <w:i/>
          <w:sz w:val="24"/>
          <w:szCs w:val="24"/>
          <w:shd w:val="clear" w:color="auto" w:fill="FFFFFF"/>
          <w:lang w:val="ro-RO"/>
        </w:rPr>
        <w:t>(Veneția, 18-19 octombrie 2002)</w:t>
      </w:r>
    </w:p>
  </w:footnote>
  <w:footnote w:id="2">
    <w:p w:rsidR="003003B3" w:rsidRPr="00F477BB" w:rsidRDefault="003003B3" w:rsidP="003003B3">
      <w:pPr>
        <w:pStyle w:val="FootnoteText"/>
        <w:rPr>
          <w:lang w:val="ro-RO"/>
        </w:rPr>
      </w:pPr>
      <w:r>
        <w:rPr>
          <w:rStyle w:val="FootnoteReference"/>
        </w:rPr>
        <w:footnoteRef/>
      </w:r>
      <w:r w:rsidRPr="005469F9">
        <w:rPr>
          <w:sz w:val="24"/>
          <w:szCs w:val="24"/>
          <w:shd w:val="clear" w:color="auto" w:fill="FFFFFF"/>
          <w:lang w:val="ro-RO"/>
        </w:rPr>
        <w:t>Liniil</w:t>
      </w:r>
      <w:r>
        <w:rPr>
          <w:sz w:val="24"/>
          <w:szCs w:val="24"/>
          <w:shd w:val="clear" w:color="auto" w:fill="FFFFFF"/>
          <w:lang w:val="ro-RO"/>
        </w:rPr>
        <w:t>e</w:t>
      </w:r>
      <w:r w:rsidRPr="005469F9">
        <w:rPr>
          <w:sz w:val="24"/>
          <w:szCs w:val="24"/>
          <w:shd w:val="clear" w:color="auto" w:fill="FFFFFF"/>
          <w:lang w:val="ro-RO"/>
        </w:rPr>
        <w:t xml:space="preserve"> directoare și raport explicativ, adoptat de Comisia Europeană pentru Democrație prin Drept în cadrul celei de-a 51-a Sesiuni Plenare</w:t>
      </w:r>
      <w:r w:rsidRPr="00433738">
        <w:rPr>
          <w:i/>
          <w:sz w:val="24"/>
          <w:szCs w:val="24"/>
          <w:shd w:val="clear" w:color="auto" w:fill="FFFFFF"/>
          <w:lang w:val="ro-RO"/>
        </w:rPr>
        <w:t xml:space="preserve">(Veneția, </w:t>
      </w:r>
      <w:r>
        <w:rPr>
          <w:i/>
          <w:sz w:val="24"/>
          <w:szCs w:val="24"/>
          <w:shd w:val="clear" w:color="auto" w:fill="FFFFFF"/>
          <w:lang w:val="ro-RO"/>
        </w:rPr>
        <w:t>5-6 iulie</w:t>
      </w:r>
      <w:r w:rsidRPr="00433738">
        <w:rPr>
          <w:i/>
          <w:sz w:val="24"/>
          <w:szCs w:val="24"/>
          <w:shd w:val="clear" w:color="auto" w:fill="FFFFFF"/>
          <w:lang w:val="ro-RO"/>
        </w:rPr>
        <w:t xml:space="preserve"> 2002)</w:t>
      </w:r>
      <w:r>
        <w:rPr>
          <w:i/>
          <w:sz w:val="24"/>
          <w:szCs w:val="24"/>
          <w:shd w:val="clear" w:color="auto" w:fill="FFFFFF"/>
          <w:lang w:val="ro-RO"/>
        </w:rPr>
        <w:t xml:space="preserve">, </w:t>
      </w:r>
      <w:r w:rsidRPr="003003B3">
        <w:rPr>
          <w:rFonts w:cs="Calibri"/>
          <w:i/>
          <w:sz w:val="24"/>
          <w:szCs w:val="24"/>
          <w:lang w:val="ro-RO"/>
        </w:rPr>
        <w:t>Cap. II, pct.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82F"/>
    <w:multiLevelType w:val="multilevel"/>
    <w:tmpl w:val="F7DC5D7A"/>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B643A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B417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70C5D"/>
    <w:multiLevelType w:val="hybridMultilevel"/>
    <w:tmpl w:val="DE785DEA"/>
    <w:lvl w:ilvl="0" w:tplc="A0D45F92">
      <w:start w:val="1"/>
      <w:numFmt w:val="bullet"/>
      <w:lvlText w:val="o"/>
      <w:lvlJc w:val="left"/>
      <w:pPr>
        <w:ind w:left="720" w:hanging="360"/>
      </w:pPr>
      <w:rPr>
        <w:rFonts w:ascii="Courier New" w:hAnsi="Courier New" w:hint="default"/>
        <w:b/>
        <w:color w:val="C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A055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BC06E3"/>
    <w:multiLevelType w:val="hybridMultilevel"/>
    <w:tmpl w:val="38125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1313C"/>
    <w:multiLevelType w:val="hybridMultilevel"/>
    <w:tmpl w:val="C6625854"/>
    <w:lvl w:ilvl="0" w:tplc="DC568B7E">
      <w:start w:val="1"/>
      <w:numFmt w:val="decimal"/>
      <w:pStyle w:val="Numerotare"/>
      <w:lvlText w:val="%1)"/>
      <w:lvlJc w:val="left"/>
      <w:pPr>
        <w:ind w:left="737" w:hanging="377"/>
      </w:pPr>
      <w:rPr>
        <w:rFonts w:hint="default"/>
        <w:b/>
        <w:bCs/>
        <w:i w:val="0"/>
        <w:iCs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D0810"/>
    <w:multiLevelType w:val="hybridMultilevel"/>
    <w:tmpl w:val="EB62D52A"/>
    <w:lvl w:ilvl="0" w:tplc="A0D45F92">
      <w:start w:val="1"/>
      <w:numFmt w:val="bullet"/>
      <w:lvlText w:val="o"/>
      <w:lvlJc w:val="left"/>
      <w:pPr>
        <w:ind w:left="720" w:hanging="360"/>
      </w:pPr>
      <w:rPr>
        <w:rFonts w:ascii="Courier New" w:hAnsi="Courier New" w:hint="default"/>
        <w:b/>
        <w:color w:val="C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07A7229"/>
    <w:multiLevelType w:val="hybridMultilevel"/>
    <w:tmpl w:val="1A663396"/>
    <w:lvl w:ilvl="0" w:tplc="CF080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0D7633"/>
    <w:multiLevelType w:val="hybridMultilevel"/>
    <w:tmpl w:val="A6BADEC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32826AED"/>
    <w:multiLevelType w:val="hybridMultilevel"/>
    <w:tmpl w:val="9C0011A4"/>
    <w:lvl w:ilvl="0" w:tplc="A0D45F92">
      <w:start w:val="1"/>
      <w:numFmt w:val="bullet"/>
      <w:lvlText w:val="o"/>
      <w:lvlJc w:val="left"/>
      <w:pPr>
        <w:ind w:left="720" w:hanging="360"/>
      </w:pPr>
      <w:rPr>
        <w:rFonts w:ascii="Courier New" w:hAnsi="Courier New" w:hint="default"/>
        <w:b/>
        <w:color w:val="C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5454D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B94BC0"/>
    <w:multiLevelType w:val="hybridMultilevel"/>
    <w:tmpl w:val="64EC30A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003D8"/>
    <w:multiLevelType w:val="hybridMultilevel"/>
    <w:tmpl w:val="AE5A3BDE"/>
    <w:lvl w:ilvl="0" w:tplc="11A8B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BA62E3"/>
    <w:multiLevelType w:val="multilevel"/>
    <w:tmpl w:val="F52E7ED4"/>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93F191E"/>
    <w:multiLevelType w:val="multilevel"/>
    <w:tmpl w:val="465E0524"/>
    <w:lvl w:ilvl="0">
      <w:start w:val="1"/>
      <w:numFmt w:val="decimal"/>
      <w:lvlText w:val="%1."/>
      <w:lvlJc w:val="left"/>
      <w:pPr>
        <w:ind w:left="390" w:hanging="390"/>
      </w:pPr>
      <w:rPr>
        <w:rFonts w:ascii="Calibri" w:hAnsi="Calibri" w:cs="Calibri" w:hint="default"/>
        <w:color w:val="444444"/>
        <w:sz w:val="26"/>
      </w:rPr>
    </w:lvl>
    <w:lvl w:ilvl="1">
      <w:start w:val="1"/>
      <w:numFmt w:val="decimal"/>
      <w:lvlText w:val="%1.%2."/>
      <w:lvlJc w:val="left"/>
      <w:pPr>
        <w:ind w:left="390" w:hanging="390"/>
      </w:pPr>
      <w:rPr>
        <w:rFonts w:ascii="Times New Roman" w:hAnsi="Times New Roman" w:cs="Times New Roman" w:hint="default"/>
        <w:i w:val="0"/>
        <w:color w:val="444444"/>
        <w:sz w:val="22"/>
        <w:szCs w:val="22"/>
      </w:rPr>
    </w:lvl>
    <w:lvl w:ilvl="2">
      <w:start w:val="1"/>
      <w:numFmt w:val="decimal"/>
      <w:lvlText w:val="%1.%2.%3."/>
      <w:lvlJc w:val="left"/>
      <w:pPr>
        <w:ind w:left="720" w:hanging="720"/>
      </w:pPr>
      <w:rPr>
        <w:rFonts w:ascii="Calibri" w:hAnsi="Calibri" w:cs="Calibri" w:hint="default"/>
        <w:color w:val="444444"/>
        <w:sz w:val="26"/>
      </w:rPr>
    </w:lvl>
    <w:lvl w:ilvl="3">
      <w:start w:val="1"/>
      <w:numFmt w:val="decimal"/>
      <w:lvlText w:val="%1.%2.%3.%4."/>
      <w:lvlJc w:val="left"/>
      <w:pPr>
        <w:ind w:left="720" w:hanging="720"/>
      </w:pPr>
      <w:rPr>
        <w:rFonts w:ascii="Calibri" w:hAnsi="Calibri" w:cs="Calibri" w:hint="default"/>
        <w:color w:val="444444"/>
        <w:sz w:val="26"/>
      </w:rPr>
    </w:lvl>
    <w:lvl w:ilvl="4">
      <w:start w:val="1"/>
      <w:numFmt w:val="decimal"/>
      <w:lvlText w:val="%1.%2.%3.%4.%5."/>
      <w:lvlJc w:val="left"/>
      <w:pPr>
        <w:ind w:left="1080" w:hanging="1080"/>
      </w:pPr>
      <w:rPr>
        <w:rFonts w:ascii="Calibri" w:hAnsi="Calibri" w:cs="Calibri" w:hint="default"/>
        <w:color w:val="444444"/>
        <w:sz w:val="26"/>
      </w:rPr>
    </w:lvl>
    <w:lvl w:ilvl="5">
      <w:start w:val="1"/>
      <w:numFmt w:val="decimal"/>
      <w:lvlText w:val="%1.%2.%3.%4.%5.%6."/>
      <w:lvlJc w:val="left"/>
      <w:pPr>
        <w:ind w:left="1080" w:hanging="1080"/>
      </w:pPr>
      <w:rPr>
        <w:rFonts w:ascii="Calibri" w:hAnsi="Calibri" w:cs="Calibri" w:hint="default"/>
        <w:color w:val="444444"/>
        <w:sz w:val="26"/>
      </w:rPr>
    </w:lvl>
    <w:lvl w:ilvl="6">
      <w:start w:val="1"/>
      <w:numFmt w:val="decimal"/>
      <w:lvlText w:val="%1.%2.%3.%4.%5.%6.%7."/>
      <w:lvlJc w:val="left"/>
      <w:pPr>
        <w:ind w:left="1440" w:hanging="1440"/>
      </w:pPr>
      <w:rPr>
        <w:rFonts w:ascii="Calibri" w:hAnsi="Calibri" w:cs="Calibri" w:hint="default"/>
        <w:color w:val="444444"/>
        <w:sz w:val="26"/>
      </w:rPr>
    </w:lvl>
    <w:lvl w:ilvl="7">
      <w:start w:val="1"/>
      <w:numFmt w:val="decimal"/>
      <w:lvlText w:val="%1.%2.%3.%4.%5.%6.%7.%8."/>
      <w:lvlJc w:val="left"/>
      <w:pPr>
        <w:ind w:left="1440" w:hanging="1440"/>
      </w:pPr>
      <w:rPr>
        <w:rFonts w:ascii="Calibri" w:hAnsi="Calibri" w:cs="Calibri" w:hint="default"/>
        <w:color w:val="444444"/>
        <w:sz w:val="26"/>
      </w:rPr>
    </w:lvl>
    <w:lvl w:ilvl="8">
      <w:start w:val="1"/>
      <w:numFmt w:val="decimal"/>
      <w:lvlText w:val="%1.%2.%3.%4.%5.%6.%7.%8.%9."/>
      <w:lvlJc w:val="left"/>
      <w:pPr>
        <w:ind w:left="1800" w:hanging="1800"/>
      </w:pPr>
      <w:rPr>
        <w:rFonts w:ascii="Calibri" w:hAnsi="Calibri" w:cs="Calibri" w:hint="default"/>
        <w:color w:val="444444"/>
        <w:sz w:val="26"/>
      </w:rPr>
    </w:lvl>
  </w:abstractNum>
  <w:abstractNum w:abstractNumId="16" w15:restartNumberingAfterBreak="0">
    <w:nsid w:val="5E133ECC"/>
    <w:multiLevelType w:val="hybridMultilevel"/>
    <w:tmpl w:val="2990F3A6"/>
    <w:lvl w:ilvl="0" w:tplc="A0D45F92">
      <w:start w:val="1"/>
      <w:numFmt w:val="bullet"/>
      <w:lvlText w:val="o"/>
      <w:lvlJc w:val="left"/>
      <w:pPr>
        <w:ind w:left="720" w:hanging="360"/>
      </w:pPr>
      <w:rPr>
        <w:rFonts w:ascii="Courier New" w:hAnsi="Courier New" w:hint="default"/>
        <w:b/>
        <w:color w:val="C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33F3EC0"/>
    <w:multiLevelType w:val="hybridMultilevel"/>
    <w:tmpl w:val="017EB392"/>
    <w:lvl w:ilvl="0" w:tplc="836406B8">
      <w:start w:val="1"/>
      <w:numFmt w:val="bullet"/>
      <w:pStyle w:val="Bulet"/>
      <w:lvlText w:val="o"/>
      <w:lvlJc w:val="left"/>
      <w:pPr>
        <w:ind w:left="737" w:hanging="377"/>
      </w:pPr>
      <w:rPr>
        <w:rFonts w:ascii="Courier New" w:hAnsi="Courier New" w:hint="default"/>
        <w:b/>
        <w:bCs/>
        <w:i w:val="0"/>
        <w:iCs w:val="0"/>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B079A"/>
    <w:multiLevelType w:val="hybridMultilevel"/>
    <w:tmpl w:val="46D8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15116"/>
    <w:multiLevelType w:val="hybridMultilevel"/>
    <w:tmpl w:val="02EA4C16"/>
    <w:lvl w:ilvl="0" w:tplc="04180001">
      <w:start w:val="1"/>
      <w:numFmt w:val="bullet"/>
      <w:lvlText w:val=""/>
      <w:lvlJc w:val="left"/>
      <w:pPr>
        <w:ind w:left="1440" w:hanging="360"/>
      </w:pPr>
      <w:rPr>
        <w:rFonts w:ascii="Symbol" w:hAnsi="Symbol" w:hint="default"/>
        <w:b/>
        <w:color w:val="C0000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7E2B17ED"/>
    <w:multiLevelType w:val="multilevel"/>
    <w:tmpl w:val="FC96941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2"/>
  </w:num>
  <w:num w:numId="3">
    <w:abstractNumId w:val="11"/>
  </w:num>
  <w:num w:numId="4">
    <w:abstractNumId w:val="17"/>
  </w:num>
  <w:num w:numId="5">
    <w:abstractNumId w:val="4"/>
  </w:num>
  <w:num w:numId="6">
    <w:abstractNumId w:val="1"/>
  </w:num>
  <w:num w:numId="7">
    <w:abstractNumId w:val="12"/>
  </w:num>
  <w:num w:numId="8">
    <w:abstractNumId w:val="19"/>
  </w:num>
  <w:num w:numId="9">
    <w:abstractNumId w:val="10"/>
  </w:num>
  <w:num w:numId="10">
    <w:abstractNumId w:val="3"/>
  </w:num>
  <w:num w:numId="11">
    <w:abstractNumId w:val="16"/>
  </w:num>
  <w:num w:numId="12">
    <w:abstractNumId w:val="7"/>
  </w:num>
  <w:num w:numId="13">
    <w:abstractNumId w:val="9"/>
  </w:num>
  <w:num w:numId="14">
    <w:abstractNumId w:val="17"/>
  </w:num>
  <w:num w:numId="15">
    <w:abstractNumId w:val="18"/>
  </w:num>
  <w:num w:numId="16">
    <w:abstractNumId w:val="20"/>
  </w:num>
  <w:num w:numId="17">
    <w:abstractNumId w:val="5"/>
  </w:num>
  <w:num w:numId="18">
    <w:abstractNumId w:val="15"/>
  </w:num>
  <w:num w:numId="19">
    <w:abstractNumId w:val="13"/>
  </w:num>
  <w:num w:numId="20">
    <w:abstractNumId w:val="0"/>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C4"/>
    <w:rsid w:val="00072E3E"/>
    <w:rsid w:val="00081F06"/>
    <w:rsid w:val="0009044E"/>
    <w:rsid w:val="0009212D"/>
    <w:rsid w:val="000D6C4F"/>
    <w:rsid w:val="00127456"/>
    <w:rsid w:val="0014537E"/>
    <w:rsid w:val="001D0581"/>
    <w:rsid w:val="00200C52"/>
    <w:rsid w:val="00224AC2"/>
    <w:rsid w:val="00295056"/>
    <w:rsid w:val="002B1CF0"/>
    <w:rsid w:val="002F1D0F"/>
    <w:rsid w:val="003003B3"/>
    <w:rsid w:val="0030249F"/>
    <w:rsid w:val="00422520"/>
    <w:rsid w:val="00474680"/>
    <w:rsid w:val="00475E3A"/>
    <w:rsid w:val="004C3BF9"/>
    <w:rsid w:val="004C480C"/>
    <w:rsid w:val="00517C26"/>
    <w:rsid w:val="00530064"/>
    <w:rsid w:val="005A3995"/>
    <w:rsid w:val="005B598B"/>
    <w:rsid w:val="005E68A2"/>
    <w:rsid w:val="00653A16"/>
    <w:rsid w:val="00696F78"/>
    <w:rsid w:val="007A08C6"/>
    <w:rsid w:val="00802709"/>
    <w:rsid w:val="00831EAB"/>
    <w:rsid w:val="00870109"/>
    <w:rsid w:val="008903B6"/>
    <w:rsid w:val="008933E6"/>
    <w:rsid w:val="008B6B08"/>
    <w:rsid w:val="00984F29"/>
    <w:rsid w:val="009C08C3"/>
    <w:rsid w:val="00A21765"/>
    <w:rsid w:val="00A4668A"/>
    <w:rsid w:val="00B05263"/>
    <w:rsid w:val="00B21CCA"/>
    <w:rsid w:val="00B27237"/>
    <w:rsid w:val="00B65CF0"/>
    <w:rsid w:val="00BD16CF"/>
    <w:rsid w:val="00C33428"/>
    <w:rsid w:val="00C65E77"/>
    <w:rsid w:val="00C87EE4"/>
    <w:rsid w:val="00CA2F83"/>
    <w:rsid w:val="00CB18C4"/>
    <w:rsid w:val="00CE4C1F"/>
    <w:rsid w:val="00CF4AC8"/>
    <w:rsid w:val="00CF76B4"/>
    <w:rsid w:val="00D10CF4"/>
    <w:rsid w:val="00D51412"/>
    <w:rsid w:val="00D61165"/>
    <w:rsid w:val="00DE6767"/>
    <w:rsid w:val="00E85D78"/>
    <w:rsid w:val="00EF4957"/>
    <w:rsid w:val="00F13F54"/>
    <w:rsid w:val="00F41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1E1ED-C00F-1F48-8D97-ABFBF318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64"/>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1D0F"/>
    <w:pPr>
      <w:tabs>
        <w:tab w:val="center" w:pos="4536"/>
        <w:tab w:val="right" w:pos="9072"/>
      </w:tabs>
    </w:pPr>
  </w:style>
  <w:style w:type="paragraph" w:customStyle="1" w:styleId="Text">
    <w:name w:val="Text"/>
    <w:qFormat/>
    <w:rsid w:val="0009044E"/>
    <w:pPr>
      <w:spacing w:before="120"/>
      <w:jc w:val="both"/>
    </w:pPr>
    <w:rPr>
      <w:color w:val="404040" w:themeColor="text1" w:themeTint="BF"/>
      <w:sz w:val="28"/>
      <w:lang w:val="ro-RO"/>
    </w:rPr>
  </w:style>
  <w:style w:type="paragraph" w:customStyle="1" w:styleId="Titlu11">
    <w:name w:val="Titlu 11"/>
    <w:next w:val="Text"/>
    <w:qFormat/>
    <w:rsid w:val="002F1D0F"/>
    <w:pPr>
      <w:keepNext/>
      <w:keepLines/>
      <w:pageBreakBefore/>
      <w:spacing w:before="240"/>
      <w:jc w:val="center"/>
    </w:pPr>
    <w:rPr>
      <w:b/>
      <w:bCs/>
      <w:caps/>
      <w:color w:val="C00000"/>
      <w:sz w:val="40"/>
      <w:szCs w:val="40"/>
      <w:lang w:val="ro-RO"/>
    </w:rPr>
  </w:style>
  <w:style w:type="paragraph" w:customStyle="1" w:styleId="Titlu21">
    <w:name w:val="Titlu 21"/>
    <w:next w:val="Text"/>
    <w:qFormat/>
    <w:rsid w:val="0009044E"/>
    <w:pPr>
      <w:keepNext/>
      <w:keepLines/>
      <w:spacing w:before="240"/>
    </w:pPr>
    <w:rPr>
      <w:b/>
      <w:color w:val="C00000"/>
      <w:sz w:val="36"/>
      <w:lang w:val="ro-RO"/>
    </w:rPr>
  </w:style>
  <w:style w:type="paragraph" w:customStyle="1" w:styleId="Titlu31">
    <w:name w:val="Titlu 31"/>
    <w:next w:val="Text"/>
    <w:qFormat/>
    <w:rsid w:val="0009044E"/>
    <w:pPr>
      <w:keepNext/>
      <w:keepLines/>
      <w:spacing w:before="240"/>
    </w:pPr>
    <w:rPr>
      <w:b/>
      <w:color w:val="2E74B5" w:themeColor="accent1" w:themeShade="BF"/>
      <w:sz w:val="32"/>
      <w:lang w:val="ro-RO"/>
    </w:rPr>
  </w:style>
  <w:style w:type="paragraph" w:customStyle="1" w:styleId="Titlu41">
    <w:name w:val="Titlu 41"/>
    <w:next w:val="Text"/>
    <w:qFormat/>
    <w:rsid w:val="002F1D0F"/>
    <w:pPr>
      <w:keepNext/>
      <w:keepLines/>
      <w:spacing w:before="240"/>
    </w:pPr>
    <w:rPr>
      <w:b/>
      <w:i/>
      <w:color w:val="000000" w:themeColor="text1"/>
      <w:sz w:val="28"/>
      <w:u w:val="single"/>
      <w:lang w:val="ro-RO"/>
    </w:rPr>
  </w:style>
  <w:style w:type="paragraph" w:customStyle="1" w:styleId="Titlu51">
    <w:name w:val="Titlu 51"/>
    <w:basedOn w:val="Normal"/>
    <w:next w:val="Text"/>
    <w:qFormat/>
    <w:rsid w:val="002F1D0F"/>
    <w:pPr>
      <w:keepNext/>
      <w:spacing w:before="240"/>
    </w:pPr>
    <w:rPr>
      <w:i/>
      <w:color w:val="000000" w:themeColor="text1"/>
      <w:u w:val="single"/>
    </w:rPr>
  </w:style>
  <w:style w:type="paragraph" w:customStyle="1" w:styleId="Bulet">
    <w:name w:val="Bulet"/>
    <w:basedOn w:val="Text"/>
    <w:qFormat/>
    <w:rsid w:val="0009044E"/>
    <w:pPr>
      <w:numPr>
        <w:numId w:val="4"/>
      </w:numPr>
    </w:pPr>
  </w:style>
  <w:style w:type="paragraph" w:customStyle="1" w:styleId="Numerotare">
    <w:name w:val="Numerotare"/>
    <w:basedOn w:val="Bulet"/>
    <w:qFormat/>
    <w:rsid w:val="0009044E"/>
    <w:pPr>
      <w:numPr>
        <w:numId w:val="1"/>
      </w:numPr>
    </w:pPr>
  </w:style>
  <w:style w:type="character" w:customStyle="1" w:styleId="FooterChar">
    <w:name w:val="Footer Char"/>
    <w:basedOn w:val="DefaultParagraphFont"/>
    <w:link w:val="Footer"/>
    <w:uiPriority w:val="99"/>
    <w:rsid w:val="002F1D0F"/>
    <w:rPr>
      <w:color w:val="404040" w:themeColor="text1" w:themeTint="BF"/>
      <w:sz w:val="28"/>
    </w:rPr>
  </w:style>
  <w:style w:type="character" w:styleId="PageNumber">
    <w:name w:val="page number"/>
    <w:basedOn w:val="DefaultParagraphFont"/>
    <w:uiPriority w:val="99"/>
    <w:semiHidden/>
    <w:unhideWhenUsed/>
    <w:rsid w:val="002F1D0F"/>
  </w:style>
  <w:style w:type="paragraph" w:styleId="Header">
    <w:name w:val="header"/>
    <w:basedOn w:val="Normal"/>
    <w:link w:val="HeaderChar"/>
    <w:uiPriority w:val="99"/>
    <w:unhideWhenUsed/>
    <w:rsid w:val="002F1D0F"/>
    <w:pPr>
      <w:tabs>
        <w:tab w:val="center" w:pos="4536"/>
        <w:tab w:val="right" w:pos="9072"/>
      </w:tabs>
    </w:pPr>
  </w:style>
  <w:style w:type="character" w:customStyle="1" w:styleId="HeaderChar">
    <w:name w:val="Header Char"/>
    <w:basedOn w:val="DefaultParagraphFont"/>
    <w:link w:val="Header"/>
    <w:uiPriority w:val="99"/>
    <w:rsid w:val="002F1D0F"/>
    <w:rPr>
      <w:color w:val="404040" w:themeColor="text1" w:themeTint="BF"/>
      <w:sz w:val="28"/>
    </w:rPr>
  </w:style>
  <w:style w:type="character" w:styleId="Hyperlink">
    <w:name w:val="Hyperlink"/>
    <w:basedOn w:val="DefaultParagraphFont"/>
    <w:uiPriority w:val="99"/>
    <w:unhideWhenUsed/>
    <w:rsid w:val="00530064"/>
    <w:rPr>
      <w:color w:val="0563C1" w:themeColor="hyperlink"/>
      <w:u w:val="single"/>
    </w:rPr>
  </w:style>
  <w:style w:type="paragraph" w:styleId="ListParagraph">
    <w:name w:val="List Paragraph"/>
    <w:basedOn w:val="Normal"/>
    <w:uiPriority w:val="34"/>
    <w:qFormat/>
    <w:rsid w:val="00530064"/>
    <w:pPr>
      <w:ind w:left="720"/>
      <w:contextualSpacing/>
    </w:pPr>
  </w:style>
  <w:style w:type="paragraph" w:styleId="FootnoteText">
    <w:name w:val="footnote text"/>
    <w:basedOn w:val="Normal"/>
    <w:link w:val="FootnoteTextChar"/>
    <w:uiPriority w:val="99"/>
    <w:semiHidden/>
    <w:unhideWhenUsed/>
    <w:rsid w:val="003003B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3003B3"/>
    <w:rPr>
      <w:rFonts w:ascii="Calibri" w:eastAsia="Calibri" w:hAnsi="Calibri" w:cs="Times New Roman"/>
      <w:sz w:val="20"/>
      <w:szCs w:val="20"/>
    </w:rPr>
  </w:style>
  <w:style w:type="character" w:styleId="FootnoteReference">
    <w:name w:val="footnote reference"/>
    <w:uiPriority w:val="99"/>
    <w:semiHidden/>
    <w:unhideWhenUsed/>
    <w:rsid w:val="003003B3"/>
    <w:rPr>
      <w:vertAlign w:val="superscript"/>
    </w:rPr>
  </w:style>
  <w:style w:type="paragraph" w:styleId="NormalWeb">
    <w:name w:val="Normal (Web)"/>
    <w:basedOn w:val="Normal"/>
    <w:uiPriority w:val="99"/>
    <w:unhideWhenUsed/>
    <w:rsid w:val="003003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93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E6"/>
    <w:rPr>
      <w:rFonts w:ascii="Segoe UI" w:hAnsi="Segoe UI" w:cs="Segoe UI"/>
      <w:sz w:val="18"/>
      <w:szCs w:val="18"/>
      <w:lang w:val="ro-RO"/>
    </w:rPr>
  </w:style>
  <w:style w:type="character" w:styleId="Strong">
    <w:name w:val="Strong"/>
    <w:basedOn w:val="DefaultParagraphFont"/>
    <w:uiPriority w:val="22"/>
    <w:qFormat/>
    <w:rsid w:val="00890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0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tqmzwha/decizia-nr-1431-2010-asupra-cererii-de-solutionare-a-conflictului-juridic-de-natura-constitutionala-dintre-parlamentul-romaniei-si-guvern-formulata-de-presedintele-senatului?d=2020-01-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nice@coe.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ge5.ro/Gratuit/ge2damjzgu/decizia-nr-1655-2010-referitoare-la-obiectia-de-neconstitutionalitate-a-dispozitiilor-legii-privind-salarizarea-in-anul-2011-a-personalului-platit-din-fonduri-publice-in-ansamblul-sau-precum-si-in-spe?d=2020-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2185</Words>
  <Characters>12459</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cristian citre</cp:lastModifiedBy>
  <cp:revision>2</cp:revision>
  <cp:lastPrinted>2020-01-13T15:48:00Z</cp:lastPrinted>
  <dcterms:created xsi:type="dcterms:W3CDTF">2020-01-14T13:49:00Z</dcterms:created>
  <dcterms:modified xsi:type="dcterms:W3CDTF">2020-01-14T13:49:00Z</dcterms:modified>
</cp:coreProperties>
</file>