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3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c>
          <w:tcPr>
            <w:shd w:fill="d9d9d9" w:val="clear"/>
          </w:tcPr>
          <w:p w:rsidR="00000000" w:rsidDel="00000000" w:rsidP="00000000" w:rsidRDefault="00000000" w:rsidRPr="00000000" w14:paraId="00000002">
            <w:pPr>
              <w:tabs>
                <w:tab w:val="left" w:pos="-1248"/>
                <w:tab w:val="left" w:pos="-192"/>
                <w:tab w:val="left" w:pos="447"/>
                <w:tab w:val="left" w:pos="851"/>
                <w:tab w:val="left" w:pos="1104"/>
                <w:tab w:val="left" w:pos="1536"/>
                <w:tab w:val="left" w:pos="2112"/>
                <w:tab w:val="left" w:pos="2688"/>
                <w:tab w:val="left" w:pos="3264"/>
                <w:tab w:val="left" w:pos="3840"/>
                <w:tab w:val="left" w:pos="4368"/>
                <w:tab w:val="left" w:pos="4944"/>
                <w:tab w:val="left" w:pos="5520"/>
                <w:tab w:val="left" w:pos="6096"/>
                <w:tab w:val="left" w:pos="6672"/>
                <w:tab w:val="left" w:pos="7200"/>
                <w:tab w:val="left" w:pos="7776"/>
                <w:tab w:val="left" w:pos="8352"/>
                <w:tab w:val="left" w:pos="8928"/>
                <w:tab w:val="left" w:pos="9504"/>
              </w:tabs>
              <w:ind w:left="335" w:hanging="335"/>
              <w:rPr>
                <w:b w:val="1"/>
                <w:sz w:val="24"/>
                <w:szCs w:val="24"/>
              </w:rPr>
            </w:pPr>
            <w:r w:rsidDel="00000000" w:rsidR="00000000" w:rsidRPr="00000000">
              <w:rPr>
                <w:b w:val="1"/>
                <w:sz w:val="24"/>
                <w:szCs w:val="24"/>
                <w:rtl w:val="0"/>
              </w:rPr>
              <w:t xml:space="preserve">05</w:t>
              <w:tab/>
              <w:tab/>
              <w:tab/>
              <w:t xml:space="preserve">Motions for resolutions, and other B9 documents</w:t>
            </w:r>
          </w:p>
          <w:p w:rsidR="00000000" w:rsidDel="00000000" w:rsidP="00000000" w:rsidRDefault="00000000" w:rsidRPr="00000000" w14:paraId="00000003">
            <w:pPr>
              <w:tabs>
                <w:tab w:val="left" w:pos="-1248"/>
                <w:tab w:val="left" w:pos="-192"/>
                <w:tab w:val="left" w:pos="447"/>
                <w:tab w:val="left" w:pos="851"/>
                <w:tab w:val="left" w:pos="1104"/>
                <w:tab w:val="left" w:pos="1536"/>
                <w:tab w:val="left" w:pos="2112"/>
                <w:tab w:val="left" w:pos="2688"/>
                <w:tab w:val="left" w:pos="3264"/>
                <w:tab w:val="left" w:pos="3840"/>
                <w:tab w:val="left" w:pos="4368"/>
                <w:tab w:val="left" w:pos="4944"/>
                <w:tab w:val="left" w:pos="5520"/>
                <w:tab w:val="left" w:pos="6096"/>
                <w:tab w:val="left" w:pos="6672"/>
                <w:tab w:val="left" w:pos="7200"/>
                <w:tab w:val="left" w:pos="7776"/>
                <w:tab w:val="left" w:pos="8352"/>
                <w:tab w:val="left" w:pos="8928"/>
                <w:tab w:val="left" w:pos="9504"/>
              </w:tabs>
              <w:ind w:left="851" w:hanging="851"/>
              <w:rPr>
                <w:b w:val="1"/>
                <w:sz w:val="24"/>
                <w:szCs w:val="24"/>
              </w:rPr>
            </w:pPr>
            <w:r w:rsidDel="00000000" w:rsidR="00000000" w:rsidRPr="00000000">
              <w:rPr>
                <w:b w:val="1"/>
                <w:sz w:val="24"/>
                <w:szCs w:val="24"/>
                <w:rtl w:val="0"/>
              </w:rPr>
              <w:t xml:space="preserve">05_13.</w:t>
              <w:tab/>
              <w:t xml:space="preserve">Joint motions: Rule 132/2</w:t>
            </w:r>
          </w:p>
        </w:tc>
      </w:tr>
    </w:tbl>
    <w:p w:rsidR="00000000" w:rsidDel="00000000" w:rsidP="00000000" w:rsidRDefault="00000000" w:rsidRPr="00000000" w14:paraId="00000004">
      <w:pPr>
        <w:tabs>
          <w:tab w:val="left" w:pos="851"/>
          <w:tab w:val="left" w:pos="1985"/>
        </w:tabs>
        <w:ind w:left="993" w:hanging="993"/>
        <w:rPr/>
      </w:pPr>
      <w:r w:rsidDel="00000000" w:rsidR="00000000" w:rsidRPr="00000000">
        <w:rPr>
          <w:rtl w:val="0"/>
        </w:rPr>
      </w:r>
    </w:p>
    <w:tbl>
      <w:tblPr>
        <w:tblStyle w:val="Table2"/>
        <w:tblW w:w="963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c>
          <w:tcPr>
            <w:shd w:fill="d9d9d9" w:val="clear"/>
          </w:tcPr>
          <w:p w:rsidR="00000000" w:rsidDel="00000000" w:rsidP="00000000" w:rsidRDefault="00000000" w:rsidRPr="00000000" w14:paraId="00000005">
            <w:pPr>
              <w:tabs>
                <w:tab w:val="left" w:pos="-1248"/>
                <w:tab w:val="left" w:pos="-192"/>
                <w:tab w:val="left" w:pos="447"/>
                <w:tab w:val="left" w:pos="851"/>
                <w:tab w:val="left" w:pos="1104"/>
                <w:tab w:val="left" w:pos="1536"/>
                <w:tab w:val="left" w:pos="2112"/>
                <w:tab w:val="left" w:pos="2688"/>
                <w:tab w:val="left" w:pos="3264"/>
                <w:tab w:val="left" w:pos="3840"/>
                <w:tab w:val="left" w:pos="4368"/>
                <w:tab w:val="left" w:pos="4944"/>
                <w:tab w:val="left" w:pos="5520"/>
                <w:tab w:val="left" w:pos="6096"/>
                <w:tab w:val="left" w:pos="6672"/>
                <w:tab w:val="left" w:pos="7200"/>
                <w:tab w:val="left" w:pos="7776"/>
                <w:tab w:val="left" w:pos="8352"/>
                <w:tab w:val="left" w:pos="8928"/>
                <w:tab w:val="left" w:pos="9504"/>
              </w:tabs>
              <w:ind w:left="335" w:hanging="335"/>
              <w:rPr>
                <w:sz w:val="24"/>
                <w:szCs w:val="24"/>
              </w:rPr>
            </w:pPr>
            <w:r w:rsidDel="00000000" w:rsidR="00000000" w:rsidRPr="00000000">
              <w:rPr>
                <w:sz w:val="24"/>
                <w:szCs w:val="24"/>
                <w:rtl w:val="0"/>
              </w:rPr>
              <w:tab/>
              <w:tab/>
              <w:tab/>
              <w:t xml:space="preserve">–</w:t>
              <w:tab/>
              <w:t xml:space="preserve">Cover page</w:t>
            </w:r>
          </w:p>
        </w:tc>
      </w:tr>
    </w:tbl>
    <w:p w:rsidR="00000000" w:rsidDel="00000000" w:rsidP="00000000" w:rsidRDefault="00000000" w:rsidRPr="00000000" w14:paraId="00000006">
      <w:pPr>
        <w:tabs>
          <w:tab w:val="left" w:pos="-1104"/>
          <w:tab w:val="left" w:pos="-96"/>
          <w:tab w:val="left" w:pos="240"/>
          <w:tab w:val="left" w:pos="624"/>
          <w:tab w:val="left" w:pos="1200"/>
          <w:tab w:val="left" w:pos="1824"/>
          <w:tab w:val="left" w:pos="2400"/>
          <w:tab w:val="left" w:pos="3024"/>
          <w:tab w:val="left" w:pos="3600"/>
          <w:tab w:val="left" w:pos="4224"/>
          <w:tab w:val="left" w:pos="4800"/>
          <w:tab w:val="left" w:pos="5424"/>
          <w:tab w:val="left" w:pos="6000"/>
          <w:tab w:val="left" w:pos="6624"/>
          <w:tab w:val="left" w:pos="7200"/>
          <w:tab w:val="left" w:pos="7824"/>
          <w:tab w:val="left" w:pos="8400"/>
          <w:tab w:val="left" w:pos="9024"/>
        </w:tabs>
        <w:jc w:val="both"/>
        <w:rPr/>
      </w:pPr>
      <w:r w:rsidDel="00000000" w:rsidR="00000000" w:rsidRPr="00000000">
        <w:rPr>
          <w:rtl w:val="0"/>
        </w:rPr>
      </w:r>
    </w:p>
    <w:tbl>
      <w:tblPr>
        <w:tblStyle w:val="Table3"/>
        <w:tblW w:w="907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04"/>
        <w:gridCol w:w="2268"/>
        <w:tblGridChange w:id="0">
          <w:tblGrid>
            <w:gridCol w:w="6804"/>
            <w:gridCol w:w="2268"/>
          </w:tblGrid>
        </w:tblGridChange>
      </w:tblGrid>
      <w:tr>
        <w:trPr>
          <w:trHeight w:val="1400" w:hRule="atLeast"/>
        </w:trPr>
        <w:tc>
          <w:tcPr>
            <w:shd w:fill="auto" w:val="clear"/>
            <w:vAlign w:val="center"/>
          </w:tcPr>
          <w:p w:rsidR="00000000" w:rsidDel="00000000" w:rsidP="00000000" w:rsidRDefault="00000000" w:rsidRPr="00000000" w14:paraId="00000007">
            <w:pPr>
              <w:spacing w:after="80" w:before="80" w:lineRule="auto"/>
              <w:ind w:left="284"/>
              <w:rPr>
                <w:rFonts w:ascii="Arial Narrow" w:cs="Arial Narrow" w:eastAsia="Arial Narrow" w:hAnsi="Arial Narrow"/>
                <w:b w:val="1"/>
                <w:color w:val="000000"/>
                <w:sz w:val="32"/>
                <w:szCs w:val="32"/>
              </w:rPr>
            </w:pPr>
            <w:r w:rsidDel="00000000" w:rsidR="00000000" w:rsidRPr="00000000">
              <w:rPr>
                <w:rFonts w:ascii="Arial Narrow" w:cs="Arial Narrow" w:eastAsia="Arial Narrow" w:hAnsi="Arial Narrow"/>
                <w:b w:val="1"/>
                <w:color w:val="000000"/>
                <w:sz w:val="32"/>
                <w:szCs w:val="32"/>
                <w:rtl w:val="0"/>
              </w:rPr>
              <w:t xml:space="preserve">European Parliament</w:t>
            </w:r>
          </w:p>
          <w:p w:rsidR="00000000" w:rsidDel="00000000" w:rsidP="00000000" w:rsidRDefault="00000000" w:rsidRPr="00000000" w14:paraId="00000008">
            <w:pPr>
              <w:spacing w:after="80" w:lineRule="auto"/>
              <w:ind w:firstLine="284"/>
              <w:rPr>
                <w:rFonts w:ascii="Arial" w:cs="Arial" w:eastAsia="Arial" w:hAnsi="Arial"/>
              </w:rPr>
            </w:pPr>
            <w:r w:rsidDel="00000000" w:rsidR="00000000" w:rsidRPr="00000000">
              <w:rPr>
                <w:rFonts w:ascii="Arial" w:cs="Arial" w:eastAsia="Arial" w:hAnsi="Arial"/>
                <w:rtl w:val="0"/>
              </w:rPr>
              <w:t xml:space="preserve">2019-2024</w:t>
            </w:r>
          </w:p>
        </w:tc>
        <w:tc>
          <w:tcPr>
            <w:shd w:fill="auto" w:val="clear"/>
          </w:tcPr>
          <w:p w:rsidR="00000000" w:rsidDel="00000000" w:rsidP="00000000" w:rsidRDefault="00000000" w:rsidRPr="00000000" w14:paraId="00000009">
            <w:pPr>
              <w:spacing w:after="80" w:lineRule="auto"/>
              <w:jc w:val="right"/>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1162050" cy="647700"/>
                  <wp:effectExtent b="0" l="0" r="0" t="0"/>
                  <wp:docPr descr="EP logo RGB_Mute" id="3" name="image1.png"/>
                  <a:graphic>
                    <a:graphicData uri="http://schemas.openxmlformats.org/drawingml/2006/picture">
                      <pic:pic>
                        <pic:nvPicPr>
                          <pic:cNvPr descr="EP logo RGB_Mute" id="0" name="image1.png"/>
                          <pic:cNvPicPr preferRelativeResize="0"/>
                        </pic:nvPicPr>
                        <pic:blipFill>
                          <a:blip r:embed="rId6"/>
                          <a:srcRect b="0" l="0" r="0" t="0"/>
                          <a:stretch>
                            <a:fillRect/>
                          </a:stretch>
                        </pic:blipFill>
                        <pic:spPr>
                          <a:xfrm>
                            <a:off x="0" y="0"/>
                            <a:ext cx="1162050" cy="647700"/>
                          </a:xfrm>
                          <a:prstGeom prst="rect"/>
                          <a:ln/>
                        </pic:spPr>
                      </pic:pic>
                    </a:graphicData>
                  </a:graphic>
                </wp:inline>
              </w:drawing>
            </w:r>
            <w:r w:rsidDel="00000000" w:rsidR="00000000" w:rsidRPr="00000000">
              <w:rPr>
                <w:rtl w:val="0"/>
              </w:rPr>
            </w:r>
          </w:p>
        </w:tc>
      </w:tr>
      <w:tr>
        <w:trPr>
          <w:trHeight w:val="1400" w:hRule="atLeast"/>
        </w:trPr>
        <w:tc>
          <w:tcPr>
            <w:shd w:fill="auto" w:val="cle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r>
      <w:tr>
        <w:trPr>
          <w:trHeight w:val="1400" w:hRule="atLeast"/>
        </w:trPr>
        <w:tc>
          <w:tcPr>
            <w:shd w:fill="auto" w:val="cle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r>
      <w:tr>
        <w:trPr>
          <w:trHeight w:val="1400" w:hRule="atLeast"/>
        </w:trPr>
        <w:tc>
          <w:tcPr>
            <w:shd w:fill="auto" w:val="clear"/>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r>
      <w:tr>
        <w:trPr>
          <w:trHeight w:val="1400" w:hRule="atLeast"/>
        </w:trPr>
        <w:tc>
          <w:tcPr>
            <w:shd w:fill="auto" w:val="cle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2">
      <w:pPr>
        <w:keepNext w:val="0"/>
        <w:keepLines w:val="0"/>
        <w:widowControl w:val="0"/>
        <w:pBdr>
          <w:top w:color="000000" w:space="2" w:sz="4" w:val="single"/>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Plenary sitting</w:t>
      </w:r>
    </w:p>
    <w:p w:rsidR="00000000" w:rsidDel="00000000" w:rsidP="00000000" w:rsidRDefault="00000000" w:rsidRPr="00000000" w14:paraId="00000014">
      <w:pPr>
        <w:keepNext w:val="0"/>
        <w:keepLines w:val="0"/>
        <w:widowControl w:val="0"/>
        <w:pBdr>
          <w:top w:space="0" w:sz="0" w:val="nil"/>
          <w:left w:space="0" w:sz="0" w:val="nil"/>
          <w:bottom w:color="000000" w:space="1" w:sz="4" w:val="single"/>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tabs>
          <w:tab w:val="left" w:pos="-1104"/>
          <w:tab w:val="left" w:pos="-96"/>
          <w:tab w:val="left" w:pos="6946"/>
          <w:tab w:val="left" w:pos="8496"/>
          <w:tab w:val="left" w:pos="8736"/>
        </w:tabs>
        <w:jc w:val="both"/>
        <w:rPr>
          <w:rFonts w:ascii="Arial" w:cs="Arial" w:eastAsia="Arial" w:hAnsi="Arial"/>
          <w:b w:val="1"/>
          <w:sz w:val="24"/>
          <w:szCs w:val="24"/>
        </w:rPr>
      </w:pPr>
      <w:r w:rsidDel="00000000" w:rsidR="00000000" w:rsidRPr="00000000">
        <w:rPr>
          <w:sz w:val="24"/>
          <w:szCs w:val="24"/>
          <w:rtl w:val="0"/>
        </w:rPr>
        <w:tab/>
      </w:r>
      <w:r w:rsidDel="00000000" w:rsidR="00000000" w:rsidRPr="00000000">
        <w:rPr>
          <w:rFonts w:ascii="Arial" w:cs="Arial" w:eastAsia="Arial" w:hAnsi="Arial"/>
          <w:b w:val="1"/>
          <w:sz w:val="24"/>
          <w:szCs w:val="24"/>
          <w:rtl w:val="0"/>
        </w:rPr>
        <w:t xml:space="preserve">B[/2019]}</w:t>
      </w:r>
    </w:p>
    <w:p w:rsidR="00000000" w:rsidDel="00000000" w:rsidP="00000000" w:rsidRDefault="00000000" w:rsidRPr="00000000" w14:paraId="00000016">
      <w:pPr>
        <w:tabs>
          <w:tab w:val="left" w:pos="-1104"/>
          <w:tab w:val="left" w:pos="-96"/>
          <w:tab w:val="left" w:pos="6946"/>
          <w:tab w:val="left" w:pos="8496"/>
          <w:tab w:val="left" w:pos="8736"/>
        </w:tabs>
        <w:jc w:val="both"/>
        <w:rPr>
          <w:sz w:val="24"/>
          <w:szCs w:val="24"/>
        </w:rPr>
      </w:pPr>
      <w:r w:rsidDel="00000000" w:rsidR="00000000" w:rsidRPr="00000000">
        <w:rPr>
          <w:rFonts w:ascii="Arial" w:cs="Arial" w:eastAsia="Arial" w:hAnsi="Arial"/>
          <w:b w:val="1"/>
          <w:sz w:val="24"/>
          <w:szCs w:val="24"/>
          <w:rtl w:val="0"/>
        </w:rPr>
        <w:tab/>
      </w:r>
      <w:r w:rsidDel="00000000" w:rsidR="00000000" w:rsidRPr="00000000">
        <w:rPr>
          <w:rtl w:val="0"/>
        </w:rPr>
      </w:r>
    </w:p>
    <w:p w:rsidR="00000000" w:rsidDel="00000000" w:rsidP="00000000" w:rsidRDefault="00000000" w:rsidRPr="00000000" w14:paraId="00000017">
      <w:pPr>
        <w:tabs>
          <w:tab w:val="left" w:pos="-1104"/>
          <w:tab w:val="left" w:pos="-96"/>
          <w:tab w:val="left" w:pos="1440"/>
          <w:tab w:val="left" w:pos="6804"/>
          <w:tab w:val="left" w:pos="8496"/>
          <w:tab w:val="left" w:pos="8736"/>
        </w:tabs>
        <w:spacing w:after="120" w:lineRule="auto"/>
        <w:jc w:val="both"/>
        <w:rPr>
          <w:sz w:val="24"/>
          <w:szCs w:val="24"/>
        </w:rPr>
      </w:pPr>
      <w:r w:rsidDel="00000000" w:rsidR="00000000" w:rsidRPr="00000000">
        <w:rPr>
          <w:sz w:val="16"/>
          <w:szCs w:val="16"/>
          <w:rtl w:val="0"/>
        </w:rPr>
        <w:t xml:space="preserve"> </w:t>
      </w:r>
      <w:r w:rsidDel="00000000" w:rsidR="00000000" w:rsidRPr="00000000">
        <w:rPr>
          <w:sz w:val="24"/>
          <w:szCs w:val="24"/>
          <w:rtl w:val="0"/>
        </w:rPr>
        <w:t xml:space="preserve">[13.12.2019]</w:t>
      </w:r>
    </w:p>
    <w:p w:rsidR="00000000" w:rsidDel="00000000" w:rsidP="00000000" w:rsidRDefault="00000000" w:rsidRPr="00000000" w14:paraId="00000018">
      <w:pPr>
        <w:pStyle w:val="Heading2"/>
        <w:tabs>
          <w:tab w:val="left" w:pos="1134"/>
        </w:tabs>
        <w:ind w:left="1134" w:right="1133"/>
        <w:jc w:val="left"/>
        <w:rPr>
          <w:sz w:val="48"/>
          <w:szCs w:val="48"/>
        </w:rPr>
      </w:pPr>
      <w:r w:rsidDel="00000000" w:rsidR="00000000" w:rsidRPr="00000000">
        <w:rPr>
          <w:sz w:val="48"/>
          <w:szCs w:val="48"/>
          <w:rtl w:val="0"/>
        </w:rPr>
        <w:t xml:space="preserve">MOTION FOR A RESOLUTION</w:t>
      </w:r>
    </w:p>
    <w:p w:rsidR="00000000" w:rsidDel="00000000" w:rsidP="00000000" w:rsidRDefault="00000000" w:rsidRPr="00000000" w14:paraId="00000019">
      <w:pPr>
        <w:tabs>
          <w:tab w:val="left" w:pos="-1104"/>
          <w:tab w:val="left" w:pos="1134"/>
          <w:tab w:val="left" w:pos="1440"/>
          <w:tab w:val="left" w:pos="7392"/>
          <w:tab w:val="left" w:pos="8496"/>
          <w:tab w:val="left" w:pos="8736"/>
        </w:tabs>
        <w:spacing w:after="120" w:lineRule="auto"/>
        <w:ind w:left="1134" w:right="1134"/>
        <w:jc w:val="both"/>
        <w:rPr>
          <w:sz w:val="24"/>
          <w:szCs w:val="24"/>
        </w:rPr>
      </w:pPr>
      <w:r w:rsidDel="00000000" w:rsidR="00000000" w:rsidRPr="00000000">
        <w:rPr>
          <w:sz w:val="24"/>
          <w:szCs w:val="24"/>
          <w:rtl w:val="0"/>
        </w:rPr>
        <w:t xml:space="preserve">pursuant to Rule 132/2 of the Rules of Procedure</w:t>
      </w:r>
    </w:p>
    <w:p w:rsidR="00000000" w:rsidDel="00000000" w:rsidP="00000000" w:rsidRDefault="00000000" w:rsidRPr="00000000" w14:paraId="0000001A">
      <w:pPr>
        <w:tabs>
          <w:tab w:val="left" w:pos="-672"/>
          <w:tab w:val="left" w:pos="240"/>
          <w:tab w:val="left" w:pos="528"/>
          <w:tab w:val="left" w:pos="1104"/>
          <w:tab w:val="left" w:pos="113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ind w:left="1134" w:right="1133"/>
        <w:jc w:val="both"/>
        <w:rPr>
          <w:sz w:val="24"/>
          <w:szCs w:val="24"/>
        </w:rPr>
      </w:pPr>
      <w:r w:rsidDel="00000000" w:rsidR="00000000" w:rsidRPr="00000000">
        <w:rPr>
          <w:b w:val="1"/>
          <w:sz w:val="24"/>
          <w:szCs w:val="24"/>
          <w:rtl w:val="0"/>
        </w:rPr>
        <w:t xml:space="preserve">[Traian Băsescu, ]</w:t>
      </w:r>
      <w:r w:rsidDel="00000000" w:rsidR="00000000" w:rsidRPr="00000000">
        <w:rPr>
          <w:sz w:val="24"/>
          <w:szCs w:val="24"/>
          <w:rtl w:val="0"/>
        </w:rPr>
        <w:t xml:space="preserve"> on behalf of the EPP Group</w:t>
      </w:r>
    </w:p>
    <w:p w:rsidR="00000000" w:rsidDel="00000000" w:rsidP="00000000" w:rsidRDefault="00000000" w:rsidRPr="00000000" w14:paraId="0000001B">
      <w:pPr>
        <w:tabs>
          <w:tab w:val="left" w:pos="-672"/>
          <w:tab w:val="left" w:pos="240"/>
          <w:tab w:val="left" w:pos="528"/>
          <w:tab w:val="left" w:pos="1104"/>
          <w:tab w:val="left" w:pos="1134"/>
          <w:tab w:val="left" w:pos="156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ind w:left="1134" w:right="1133"/>
        <w:jc w:val="both"/>
        <w:rPr>
          <w:b w:val="1"/>
          <w:sz w:val="24"/>
          <w:szCs w:val="24"/>
        </w:rPr>
      </w:pPr>
      <w:r w:rsidDel="00000000" w:rsidR="00000000" w:rsidRPr="00000000">
        <w:rPr>
          <w:b w:val="1"/>
          <w:sz w:val="24"/>
          <w:szCs w:val="24"/>
          <w:rtl w:val="0"/>
        </w:rPr>
        <w:t xml:space="preserve">[Dan Nica, ] </w:t>
      </w:r>
      <w:r w:rsidDel="00000000" w:rsidR="00000000" w:rsidRPr="00000000">
        <w:rPr>
          <w:sz w:val="24"/>
          <w:szCs w:val="24"/>
          <w:rtl w:val="0"/>
        </w:rPr>
        <w:t xml:space="preserve">on behalf of the S&amp;D Group</w:t>
      </w:r>
      <w:r w:rsidDel="00000000" w:rsidR="00000000" w:rsidRPr="00000000">
        <w:rPr>
          <w:rtl w:val="0"/>
        </w:rPr>
      </w:r>
    </w:p>
    <w:p w:rsidR="00000000" w:rsidDel="00000000" w:rsidP="00000000" w:rsidRDefault="00000000" w:rsidRPr="00000000" w14:paraId="0000001C">
      <w:pPr>
        <w:tabs>
          <w:tab w:val="left" w:pos="-672"/>
          <w:tab w:val="left" w:pos="240"/>
          <w:tab w:val="left" w:pos="528"/>
          <w:tab w:val="left" w:pos="1104"/>
          <w:tab w:val="left" w:pos="113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ind w:left="1134" w:right="1133"/>
        <w:jc w:val="both"/>
        <w:rPr>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Dacian Ciolos</w:t>
      </w:r>
      <w:r w:rsidDel="00000000" w:rsidR="00000000" w:rsidRPr="00000000">
        <w:rPr>
          <w:sz w:val="24"/>
          <w:szCs w:val="24"/>
          <w:rtl w:val="0"/>
        </w:rPr>
        <w:t xml:space="preserve">, ].....on behalf of the Renew Europe Group</w:t>
      </w:r>
    </w:p>
    <w:p w:rsidR="00000000" w:rsidDel="00000000" w:rsidP="00000000" w:rsidRDefault="00000000" w:rsidRPr="00000000" w14:paraId="0000001D">
      <w:pPr>
        <w:spacing w:line="200" w:lineRule="auto"/>
        <w:rPr>
          <w:sz w:val="24"/>
          <w:szCs w:val="24"/>
        </w:rPr>
      </w:pPr>
      <w:r w:rsidDel="00000000" w:rsidR="00000000" w:rsidRPr="00000000">
        <w:rPr>
          <w:rtl w:val="0"/>
        </w:rPr>
      </w:r>
    </w:p>
    <w:p w:rsidR="00000000" w:rsidDel="00000000" w:rsidP="00000000" w:rsidRDefault="00000000" w:rsidRPr="00000000" w14:paraId="0000001E">
      <w:pPr>
        <w:spacing w:line="200" w:lineRule="auto"/>
        <w:rPr>
          <w:sz w:val="24"/>
          <w:szCs w:val="24"/>
        </w:rPr>
      </w:pPr>
      <w:r w:rsidDel="00000000" w:rsidR="00000000" w:rsidRPr="00000000">
        <w:rPr>
          <w:rtl w:val="0"/>
        </w:rPr>
      </w:r>
    </w:p>
    <w:p w:rsidR="00000000" w:rsidDel="00000000" w:rsidP="00000000" w:rsidRDefault="00000000" w:rsidRPr="00000000" w14:paraId="0000001F">
      <w:pPr>
        <w:tabs>
          <w:tab w:val="left" w:pos="-672"/>
          <w:tab w:val="left" w:pos="-96"/>
          <w:tab w:val="left" w:pos="336"/>
          <w:tab w:val="left" w:pos="528"/>
          <w:tab w:val="left" w:pos="816"/>
          <w:tab w:val="left" w:pos="6521"/>
        </w:tabs>
        <w:spacing w:before="120" w:lineRule="auto"/>
        <w:jc w:val="both"/>
        <w:rPr>
          <w:sz w:val="22"/>
          <w:szCs w:val="22"/>
        </w:rPr>
      </w:pPr>
      <w:r w:rsidDel="00000000" w:rsidR="00000000" w:rsidRPr="00000000">
        <w:rPr>
          <w:sz w:val="22"/>
          <w:szCs w:val="22"/>
          <w:rtl w:val="0"/>
        </w:rPr>
        <w:t xml:space="preserve">[Internal footer]</w:t>
        <w:tab/>
        <w:t xml:space="preserve">PE000.000v00-00}</w:t>
      </w:r>
    </w:p>
    <w:p w:rsidR="00000000" w:rsidDel="00000000" w:rsidP="00000000" w:rsidRDefault="00000000" w:rsidRPr="00000000" w14:paraId="00000020">
      <w:pPr>
        <w:tabs>
          <w:tab w:val="left" w:pos="-672"/>
          <w:tab w:val="left" w:pos="-96"/>
          <w:tab w:val="left" w:pos="336"/>
          <w:tab w:val="left" w:pos="528"/>
          <w:tab w:val="left" w:pos="816"/>
          <w:tab w:val="left" w:pos="6521"/>
        </w:tabs>
        <w:jc w:val="both"/>
        <w:rPr/>
      </w:pPr>
      <w:bookmarkStart w:colFirst="0" w:colLast="0" w:name="_gjdgxs" w:id="0"/>
      <w:bookmarkEnd w:id="0"/>
      <w:r w:rsidDel="00000000" w:rsidR="00000000" w:rsidRPr="00000000">
        <w:rPr>
          <w:sz w:val="22"/>
          <w:szCs w:val="22"/>
          <w:rtl w:val="0"/>
        </w:rPr>
        <w:tab/>
        <w:tab/>
        <w:tab/>
        <w:tab/>
        <w:t xml:space="preserve">PE000.000v00-00}</w:t>
      </w:r>
      <w:r w:rsidDel="00000000" w:rsidR="00000000" w:rsidRPr="00000000">
        <w:rPr>
          <w:rtl w:val="0"/>
        </w:rPr>
      </w:r>
    </w:p>
    <w:p w:rsidR="00000000" w:rsidDel="00000000" w:rsidP="00000000" w:rsidRDefault="00000000" w:rsidRPr="00000000" w14:paraId="00000021">
      <w:pPr>
        <w:tabs>
          <w:tab w:val="left" w:pos="-672"/>
          <w:tab w:val="left" w:pos="-96"/>
          <w:tab w:val="left" w:pos="336"/>
          <w:tab w:val="left" w:pos="816"/>
          <w:tab w:val="left" w:pos="5245"/>
          <w:tab w:val="left" w:pos="5812"/>
          <w:tab w:val="left" w:pos="6521"/>
        </w:tabs>
        <w:jc w:val="both"/>
        <w:rPr>
          <w:sz w:val="22"/>
          <w:szCs w:val="22"/>
        </w:rPr>
      </w:pPr>
      <w:r w:rsidDel="00000000" w:rsidR="00000000" w:rsidRPr="00000000">
        <w:rPr>
          <w:sz w:val="22"/>
          <w:szCs w:val="22"/>
          <w:rtl w:val="0"/>
        </w:rPr>
        <w:tab/>
        <w:tab/>
        <w:tab/>
        <w:tab/>
        <w:tab/>
        <w:t xml:space="preserve">PE000.000v00-00}</w:t>
      </w:r>
    </w:p>
    <w:p w:rsidR="00000000" w:rsidDel="00000000" w:rsidP="00000000" w:rsidRDefault="00000000" w:rsidRPr="00000000" w14:paraId="00000022">
      <w:pPr>
        <w:tabs>
          <w:tab w:val="left" w:pos="-672"/>
          <w:tab w:val="left" w:pos="-96"/>
          <w:tab w:val="left" w:pos="336"/>
          <w:tab w:val="left" w:pos="816"/>
          <w:tab w:val="left" w:pos="5245"/>
          <w:tab w:val="left" w:pos="5812"/>
          <w:tab w:val="left" w:pos="6521"/>
        </w:tabs>
        <w:jc w:val="both"/>
        <w:rPr>
          <w:sz w:val="24"/>
          <w:szCs w:val="24"/>
          <w:shd w:fill="bfbfbf" w:val="clear"/>
        </w:rPr>
      </w:pPr>
      <w:r w:rsidDel="00000000" w:rsidR="00000000" w:rsidRPr="00000000">
        <w:rPr>
          <w:sz w:val="22"/>
          <w:szCs w:val="22"/>
          <w:rtl w:val="0"/>
        </w:rPr>
        <w:tab/>
        <w:tab/>
        <w:tab/>
        <w:tab/>
        <w:tab/>
        <w:t xml:space="preserve">PE000.000v00-00}RC [1]</w:t>
      </w: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tabs>
          <w:tab w:val="center" w:pos="4535"/>
          <w:tab w:val="right" w:pos="9781"/>
        </w:tabs>
        <w:spacing w:after="0" w:before="0" w:line="240" w:lineRule="auto"/>
        <w:ind w:left="-142" w:right="401" w:firstLine="142"/>
        <w:jc w:val="right"/>
        <w:rPr>
          <w:rFonts w:ascii="Arial" w:cs="Arial" w:eastAsia="Arial" w:hAnsi="Arial"/>
          <w:b w:val="1"/>
          <w:i w:val="0"/>
          <w:smallCaps w:val="0"/>
          <w:strike w:val="0"/>
          <w:color w:val="000000"/>
          <w:sz w:val="48"/>
          <w:szCs w:val="48"/>
          <w:u w:val="none"/>
          <w:shd w:fill="auto" w:val="clear"/>
          <w:vertAlign w:val="baseline"/>
        </w:rPr>
      </w:pPr>
      <w:r w:rsidDel="00000000" w:rsidR="00000000" w:rsidRPr="00000000">
        <w:rPr>
          <w:rFonts w:ascii="Arial" w:cs="Arial" w:eastAsia="Arial" w:hAnsi="Arial"/>
          <w:b w:val="1"/>
          <w:i w:val="0"/>
          <w:smallCaps w:val="0"/>
          <w:strike w:val="0"/>
          <w:color w:val="000000"/>
          <w:sz w:val="48"/>
          <w:szCs w:val="48"/>
          <w:u w:val="none"/>
          <w:shd w:fill="auto" w:val="clear"/>
          <w:vertAlign w:val="baseline"/>
          <w:rtl w:val="0"/>
        </w:rPr>
        <w:t xml:space="preserve">EN</w:t>
        <w:tab/>
      </w:r>
      <w:r w:rsidDel="00000000" w:rsidR="00000000" w:rsidRPr="00000000">
        <w:rPr>
          <w:rFonts w:ascii="Arial" w:cs="Arial" w:eastAsia="Arial" w:hAnsi="Arial"/>
          <w:b w:val="0"/>
          <w:i w:val="1"/>
          <w:smallCaps w:val="0"/>
          <w:strike w:val="0"/>
          <w:color w:val="c0c0c0"/>
          <w:sz w:val="22"/>
          <w:szCs w:val="22"/>
          <w:u w:val="none"/>
          <w:shd w:fill="auto" w:val="clear"/>
          <w:vertAlign w:val="baseline"/>
          <w:rtl w:val="0"/>
        </w:rPr>
        <w:t xml:space="preserve">United in diversity</w:t>
      </w:r>
      <w:r w:rsidDel="00000000" w:rsidR="00000000" w:rsidRPr="00000000">
        <w:rPr>
          <w:rFonts w:ascii="Arial" w:cs="Arial" w:eastAsia="Arial" w:hAnsi="Arial"/>
          <w:b w:val="1"/>
          <w:i w:val="0"/>
          <w:smallCaps w:val="0"/>
          <w:strike w:val="0"/>
          <w:color w:val="000000"/>
          <w:sz w:val="48"/>
          <w:szCs w:val="48"/>
          <w:u w:val="none"/>
          <w:shd w:fill="auto" w:val="clear"/>
          <w:vertAlign w:val="baseline"/>
          <w:rtl w:val="0"/>
        </w:rPr>
        <w:t xml:space="preserve"> </w:t>
        <w:tab/>
        <w:t xml:space="preserve">EN</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tabs>
          <w:tab w:val="center" w:pos="4535"/>
          <w:tab w:val="right" w:pos="9781"/>
        </w:tabs>
        <w:spacing w:after="0" w:before="0" w:line="240" w:lineRule="auto"/>
        <w:ind w:left="-142" w:right="401" w:firstLine="142"/>
        <w:jc w:val="right"/>
        <w:rPr>
          <w:rFonts w:ascii="Arial" w:cs="Arial" w:eastAsia="Arial" w:hAnsi="Arial"/>
          <w:b w:val="1"/>
          <w:i w:val="0"/>
          <w:smallCaps w:val="0"/>
          <w:strike w:val="0"/>
          <w:color w:val="000000"/>
          <w:sz w:val="48"/>
          <w:szCs w:val="48"/>
          <w:u w:val="none"/>
          <w:shd w:fill="auto" w:val="clear"/>
          <w:vertAlign w:val="baseline"/>
        </w:rPr>
      </w:pPr>
      <w:r w:rsidDel="00000000" w:rsidR="00000000" w:rsidRPr="00000000">
        <w:rPr>
          <w:rtl w:val="0"/>
        </w:rPr>
      </w:r>
    </w:p>
    <w:tbl>
      <w:tblPr>
        <w:tblStyle w:val="Table4"/>
        <w:tblW w:w="967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73"/>
        <w:tblGridChange w:id="0">
          <w:tblGrid>
            <w:gridCol w:w="9673"/>
          </w:tblGrid>
        </w:tblGridChange>
      </w:tblGrid>
      <w:tr>
        <w:tc>
          <w:tcPr>
            <w:tcBorders>
              <w:top w:color="000000" w:space="0" w:sz="4" w:val="single"/>
              <w:bottom w:color="000000" w:space="0" w:sz="4" w:val="single"/>
            </w:tcBorders>
            <w:shd w:fill="d9d9d9" w:val="clear"/>
          </w:tcPr>
          <w:p w:rsidR="00000000" w:rsidDel="00000000" w:rsidP="00000000" w:rsidRDefault="00000000" w:rsidRPr="00000000" w14:paraId="00000025">
            <w:pPr>
              <w:tabs>
                <w:tab w:val="left" w:pos="-1248"/>
                <w:tab w:val="left" w:pos="-192"/>
                <w:tab w:val="left" w:pos="480"/>
                <w:tab w:val="left" w:pos="731"/>
                <w:tab w:val="left" w:pos="1104"/>
                <w:tab w:val="left" w:pos="1536"/>
                <w:tab w:val="left" w:pos="2112"/>
                <w:tab w:val="left" w:pos="2688"/>
                <w:tab w:val="left" w:pos="3264"/>
                <w:tab w:val="left" w:pos="3840"/>
                <w:tab w:val="left" w:pos="4368"/>
                <w:tab w:val="left" w:pos="4944"/>
                <w:tab w:val="left" w:pos="5520"/>
                <w:tab w:val="left" w:pos="6096"/>
                <w:tab w:val="left" w:pos="6672"/>
                <w:tab w:val="left" w:pos="7200"/>
                <w:tab w:val="left" w:pos="7776"/>
                <w:tab w:val="left" w:pos="8352"/>
                <w:tab w:val="left" w:pos="8928"/>
                <w:tab w:val="left" w:pos="9504"/>
              </w:tabs>
              <w:ind w:left="448" w:hanging="448"/>
              <w:jc w:val="both"/>
              <w:rPr/>
            </w:pPr>
            <w:r w:rsidDel="00000000" w:rsidR="00000000" w:rsidRPr="00000000">
              <w:rPr>
                <w:rtl w:val="0"/>
              </w:rPr>
              <w:t xml:space="preserve">(</w:t>
            </w:r>
            <w:r w:rsidDel="00000000" w:rsidR="00000000" w:rsidRPr="00000000">
              <w:rPr>
                <w:vertAlign w:val="superscript"/>
                <w:rtl w:val="0"/>
              </w:rPr>
              <w:t xml:space="preserve">1</w:t>
            </w:r>
            <w:r w:rsidDel="00000000" w:rsidR="00000000" w:rsidRPr="00000000">
              <w:rPr>
                <w:rtl w:val="0"/>
              </w:rPr>
              <w:t xml:space="preserve">)</w:t>
              <w:tab/>
              <w:t xml:space="preserve">The reference numbers at top and bottom right refer to the motions which the joint motion replaces.</w:t>
            </w:r>
          </w:p>
          <w:p w:rsidR="00000000" w:rsidDel="00000000" w:rsidP="00000000" w:rsidRDefault="00000000" w:rsidRPr="00000000" w14:paraId="00000026">
            <w:pPr>
              <w:tabs>
                <w:tab w:val="left" w:pos="-1248"/>
                <w:tab w:val="left" w:pos="-192"/>
                <w:tab w:val="left" w:pos="480"/>
                <w:tab w:val="left" w:pos="731"/>
                <w:tab w:val="left" w:pos="1104"/>
                <w:tab w:val="left" w:pos="1536"/>
                <w:tab w:val="left" w:pos="2112"/>
                <w:tab w:val="left" w:pos="2688"/>
                <w:tab w:val="left" w:pos="3264"/>
                <w:tab w:val="left" w:pos="3840"/>
                <w:tab w:val="left" w:pos="4368"/>
                <w:tab w:val="left" w:pos="4944"/>
                <w:tab w:val="left" w:pos="5520"/>
                <w:tab w:val="left" w:pos="6096"/>
                <w:tab w:val="left" w:pos="6672"/>
                <w:tab w:val="left" w:pos="7200"/>
                <w:tab w:val="left" w:pos="7776"/>
                <w:tab w:val="left" w:pos="8352"/>
                <w:tab w:val="left" w:pos="8928"/>
                <w:tab w:val="left" w:pos="9504"/>
              </w:tabs>
              <w:jc w:val="both"/>
              <w:rPr/>
            </w:pPr>
            <w:r w:rsidDel="00000000" w:rsidR="00000000" w:rsidRPr="00000000">
              <w:rPr>
                <w:rtl w:val="0"/>
              </w:rPr>
              <w:t xml:space="preserve">(</w:t>
            </w:r>
            <w:r w:rsidDel="00000000" w:rsidR="00000000" w:rsidRPr="00000000">
              <w:rPr>
                <w:vertAlign w:val="superscript"/>
                <w:rtl w:val="0"/>
              </w:rPr>
              <w:t xml:space="preserve">2</w:t>
            </w:r>
            <w:r w:rsidDel="00000000" w:rsidR="00000000" w:rsidRPr="00000000">
              <w:rPr>
                <w:rtl w:val="0"/>
              </w:rPr>
              <w:t xml:space="preserve">)</w:t>
              <w:tab/>
              <w:t xml:space="preserve">The legal basis depends on the motions being replaced:</w:t>
            </w:r>
          </w:p>
          <w:p w:rsidR="00000000" w:rsidDel="00000000" w:rsidP="00000000" w:rsidRDefault="00000000" w:rsidRPr="00000000" w14:paraId="00000027">
            <w:pPr>
              <w:tabs>
                <w:tab w:val="left" w:pos="-1248"/>
                <w:tab w:val="left" w:pos="-192"/>
                <w:tab w:val="left" w:pos="480"/>
                <w:tab w:val="left" w:pos="731"/>
                <w:tab w:val="left" w:pos="1104"/>
                <w:tab w:val="left" w:pos="1536"/>
                <w:tab w:val="left" w:pos="2112"/>
                <w:tab w:val="left" w:pos="2688"/>
                <w:tab w:val="left" w:pos="3264"/>
                <w:tab w:val="left" w:pos="3840"/>
                <w:tab w:val="left" w:pos="4368"/>
                <w:tab w:val="left" w:pos="4944"/>
                <w:tab w:val="left" w:pos="5520"/>
                <w:tab w:val="left" w:pos="6096"/>
                <w:tab w:val="left" w:pos="6672"/>
                <w:tab w:val="left" w:pos="7200"/>
                <w:tab w:val="left" w:pos="7776"/>
                <w:tab w:val="left" w:pos="8352"/>
                <w:tab w:val="left" w:pos="8928"/>
                <w:tab w:val="left" w:pos="9504"/>
              </w:tabs>
              <w:jc w:val="both"/>
              <w:rPr/>
            </w:pPr>
            <w:r w:rsidDel="00000000" w:rsidR="00000000" w:rsidRPr="00000000">
              <w:rPr>
                <w:rtl w:val="0"/>
              </w:rPr>
              <w:tab/>
              <w:t xml:space="preserve">–</w:t>
              <w:tab/>
              <w:t xml:space="preserve">motions further to statements by other institutions: Rule 132(2) and (4);</w:t>
            </w:r>
          </w:p>
          <w:p w:rsidR="00000000" w:rsidDel="00000000" w:rsidP="00000000" w:rsidRDefault="00000000" w:rsidRPr="00000000" w14:paraId="00000028">
            <w:pPr>
              <w:tabs>
                <w:tab w:val="left" w:pos="-1248"/>
                <w:tab w:val="left" w:pos="-192"/>
                <w:tab w:val="left" w:pos="480"/>
                <w:tab w:val="left" w:pos="731"/>
                <w:tab w:val="left" w:pos="1104"/>
                <w:tab w:val="left" w:pos="1536"/>
                <w:tab w:val="left" w:pos="2112"/>
                <w:tab w:val="left" w:pos="2688"/>
                <w:tab w:val="left" w:pos="3264"/>
                <w:tab w:val="left" w:pos="3840"/>
                <w:tab w:val="left" w:pos="4368"/>
                <w:tab w:val="left" w:pos="4944"/>
                <w:tab w:val="left" w:pos="5520"/>
                <w:tab w:val="left" w:pos="6096"/>
                <w:tab w:val="left" w:pos="6672"/>
                <w:tab w:val="left" w:pos="7200"/>
                <w:tab w:val="left" w:pos="7776"/>
                <w:tab w:val="left" w:pos="8352"/>
                <w:tab w:val="left" w:pos="8928"/>
                <w:tab w:val="left" w:pos="9504"/>
              </w:tabs>
              <w:jc w:val="both"/>
              <w:rPr/>
            </w:pPr>
            <w:r w:rsidDel="00000000" w:rsidR="00000000" w:rsidRPr="00000000">
              <w:rPr>
                <w:rtl w:val="0"/>
              </w:rPr>
              <w:tab/>
              <w:t xml:space="preserve">–</w:t>
              <w:tab/>
              <w:t xml:space="preserve">motions to wind up a debate on the election of the Commission: Rules 125(6) and 132(4);</w:t>
            </w:r>
          </w:p>
          <w:p w:rsidR="00000000" w:rsidDel="00000000" w:rsidP="00000000" w:rsidRDefault="00000000" w:rsidRPr="00000000" w14:paraId="00000029">
            <w:pPr>
              <w:tabs>
                <w:tab w:val="left" w:pos="-1248"/>
                <w:tab w:val="left" w:pos="-192"/>
                <w:tab w:val="left" w:pos="480"/>
                <w:tab w:val="left" w:pos="731"/>
                <w:tab w:val="left" w:pos="1104"/>
                <w:tab w:val="left" w:pos="1536"/>
                <w:tab w:val="left" w:pos="2112"/>
                <w:tab w:val="left" w:pos="2688"/>
                <w:tab w:val="left" w:pos="3264"/>
                <w:tab w:val="left" w:pos="3840"/>
                <w:tab w:val="left" w:pos="4368"/>
                <w:tab w:val="left" w:pos="4944"/>
                <w:tab w:val="left" w:pos="5520"/>
                <w:tab w:val="left" w:pos="6096"/>
                <w:tab w:val="left" w:pos="6672"/>
                <w:tab w:val="left" w:pos="7200"/>
                <w:tab w:val="left" w:pos="7776"/>
                <w:tab w:val="left" w:pos="8352"/>
                <w:tab w:val="left" w:pos="8928"/>
                <w:tab w:val="left" w:pos="9504"/>
              </w:tabs>
              <w:jc w:val="both"/>
              <w:rPr/>
            </w:pPr>
            <w:r w:rsidDel="00000000" w:rsidR="00000000" w:rsidRPr="00000000">
              <w:rPr>
                <w:rtl w:val="0"/>
              </w:rPr>
              <w:tab/>
              <w:t xml:space="preserve">–</w:t>
              <w:tab/>
              <w:t xml:space="preserve">motions further to questions for oral answer: Rules 136(5) and 132(4);</w:t>
            </w:r>
          </w:p>
          <w:p w:rsidR="00000000" w:rsidDel="00000000" w:rsidP="00000000" w:rsidRDefault="00000000" w:rsidRPr="00000000" w14:paraId="0000002A">
            <w:pPr>
              <w:tabs>
                <w:tab w:val="left" w:pos="-1248"/>
                <w:tab w:val="left" w:pos="-192"/>
                <w:tab w:val="left" w:pos="480"/>
                <w:tab w:val="left" w:pos="731"/>
                <w:tab w:val="left" w:pos="1104"/>
                <w:tab w:val="left" w:pos="1536"/>
                <w:tab w:val="left" w:pos="2112"/>
                <w:tab w:val="left" w:pos="2688"/>
                <w:tab w:val="left" w:pos="3264"/>
                <w:tab w:val="left" w:pos="3840"/>
                <w:tab w:val="left" w:pos="4368"/>
                <w:tab w:val="left" w:pos="4944"/>
                <w:tab w:val="left" w:pos="5520"/>
                <w:tab w:val="left" w:pos="6096"/>
                <w:tab w:val="left" w:pos="6672"/>
                <w:tab w:val="left" w:pos="7200"/>
                <w:tab w:val="left" w:pos="7776"/>
                <w:tab w:val="left" w:pos="8352"/>
                <w:tab w:val="left" w:pos="8928"/>
                <w:tab w:val="left" w:pos="9504"/>
              </w:tabs>
              <w:ind w:left="465"/>
              <w:jc w:val="both"/>
              <w:rPr/>
            </w:pPr>
            <w:r w:rsidDel="00000000" w:rsidR="00000000" w:rsidRPr="00000000">
              <w:rPr>
                <w:rtl w:val="0"/>
              </w:rPr>
              <w:t xml:space="preserve">–</w:t>
              <w:tab/>
              <w:t xml:space="preserve">motions further to major interpellation: Rules 139(4) and 132(4);</w:t>
            </w:r>
          </w:p>
          <w:p w:rsidR="00000000" w:rsidDel="00000000" w:rsidP="00000000" w:rsidRDefault="00000000" w:rsidRPr="00000000" w14:paraId="0000002B">
            <w:pPr>
              <w:tabs>
                <w:tab w:val="left" w:pos="-1248"/>
                <w:tab w:val="left" w:pos="-192"/>
                <w:tab w:val="left" w:pos="480"/>
                <w:tab w:val="left" w:pos="731"/>
                <w:tab w:val="left" w:pos="1104"/>
                <w:tab w:val="left" w:pos="1536"/>
                <w:tab w:val="left" w:pos="2112"/>
                <w:tab w:val="left" w:pos="2688"/>
                <w:tab w:val="left" w:pos="3264"/>
                <w:tab w:val="left" w:pos="3840"/>
                <w:tab w:val="left" w:pos="4368"/>
                <w:tab w:val="left" w:pos="4944"/>
                <w:tab w:val="left" w:pos="5520"/>
                <w:tab w:val="left" w:pos="6096"/>
                <w:tab w:val="left" w:pos="6672"/>
                <w:tab w:val="left" w:pos="7200"/>
                <w:tab w:val="left" w:pos="7776"/>
                <w:tab w:val="left" w:pos="8352"/>
                <w:tab w:val="left" w:pos="8928"/>
                <w:tab w:val="left" w:pos="9504"/>
              </w:tabs>
              <w:jc w:val="both"/>
              <w:rPr/>
            </w:pPr>
            <w:r w:rsidDel="00000000" w:rsidR="00000000" w:rsidRPr="00000000">
              <w:rPr>
                <w:rtl w:val="0"/>
              </w:rPr>
              <w:tab/>
              <w:t xml:space="preserve">–</w:t>
              <w:tab/>
              <w:t xml:space="preserve">motions on cases of breaches of human rights, democracy and the rule of law: Rules 144(5) and 132(4);</w:t>
              <w:br w:type="textWrapping"/>
              <w:tab/>
              <w:t xml:space="preserve">–</w:t>
              <w:tab/>
              <w:t xml:space="preserve">motions on a citizens’ initiative: Rules 222(8) or (9) and 132(4).</w:t>
            </w:r>
          </w:p>
          <w:p w:rsidR="00000000" w:rsidDel="00000000" w:rsidP="00000000" w:rsidRDefault="00000000" w:rsidRPr="00000000" w14:paraId="0000002C">
            <w:pPr>
              <w:tabs>
                <w:tab w:val="left" w:pos="-1248"/>
                <w:tab w:val="left" w:pos="-192"/>
                <w:tab w:val="left" w:pos="480"/>
                <w:tab w:val="left" w:pos="731"/>
                <w:tab w:val="left" w:pos="1104"/>
                <w:tab w:val="left" w:pos="1536"/>
                <w:tab w:val="left" w:pos="2112"/>
                <w:tab w:val="left" w:pos="2688"/>
                <w:tab w:val="left" w:pos="3264"/>
                <w:tab w:val="left" w:pos="3840"/>
                <w:tab w:val="left" w:pos="4368"/>
                <w:tab w:val="left" w:pos="4944"/>
                <w:tab w:val="left" w:pos="5520"/>
                <w:tab w:val="left" w:pos="6096"/>
                <w:tab w:val="left" w:pos="6672"/>
                <w:tab w:val="left" w:pos="7200"/>
                <w:tab w:val="left" w:pos="7776"/>
                <w:tab w:val="left" w:pos="8352"/>
                <w:tab w:val="left" w:pos="8928"/>
                <w:tab w:val="left" w:pos="9504"/>
              </w:tabs>
              <w:jc w:val="both"/>
              <w:rPr/>
            </w:pPr>
            <w:r w:rsidDel="00000000" w:rsidR="00000000" w:rsidRPr="00000000">
              <w:rPr>
                <w:rtl w:val="0"/>
              </w:rPr>
              <w:t xml:space="preserve">(</w:t>
            </w:r>
            <w:r w:rsidDel="00000000" w:rsidR="00000000" w:rsidRPr="00000000">
              <w:rPr>
                <w:vertAlign w:val="superscript"/>
                <w:rtl w:val="0"/>
              </w:rPr>
              <w:t xml:space="preserve">3</w:t>
            </w:r>
            <w:r w:rsidDel="00000000" w:rsidR="00000000" w:rsidRPr="00000000">
              <w:rPr>
                <w:rtl w:val="0"/>
              </w:rPr>
              <w:t xml:space="preserve">)</w:t>
              <w:tab/>
              <w:t xml:space="preserve">List the motions replaced in chronological order of tabling.</w:t>
            </w:r>
          </w:p>
          <w:p w:rsidR="00000000" w:rsidDel="00000000" w:rsidP="00000000" w:rsidRDefault="00000000" w:rsidRPr="00000000" w14:paraId="0000002D">
            <w:pPr>
              <w:tabs>
                <w:tab w:val="left" w:pos="-1248"/>
                <w:tab w:val="left" w:pos="-192"/>
                <w:tab w:val="left" w:pos="480"/>
                <w:tab w:val="left" w:pos="731"/>
                <w:tab w:val="left" w:pos="1104"/>
                <w:tab w:val="left" w:pos="1536"/>
                <w:tab w:val="left" w:pos="2112"/>
                <w:tab w:val="left" w:pos="2688"/>
                <w:tab w:val="left" w:pos="3264"/>
                <w:tab w:val="left" w:pos="3840"/>
                <w:tab w:val="left" w:pos="4368"/>
                <w:tab w:val="left" w:pos="4944"/>
                <w:tab w:val="left" w:pos="5520"/>
                <w:tab w:val="left" w:pos="6096"/>
                <w:tab w:val="left" w:pos="6672"/>
                <w:tab w:val="left" w:pos="7200"/>
                <w:tab w:val="left" w:pos="7776"/>
                <w:tab w:val="left" w:pos="8352"/>
                <w:tab w:val="left" w:pos="8928"/>
                <w:tab w:val="left" w:pos="9504"/>
              </w:tabs>
              <w:ind w:left="480" w:hanging="480"/>
              <w:jc w:val="both"/>
              <w:rPr/>
            </w:pPr>
            <w:r w:rsidDel="00000000" w:rsidR="00000000" w:rsidRPr="00000000">
              <w:rPr>
                <w:rtl w:val="0"/>
              </w:rPr>
              <w:t xml:space="preserve">(</w:t>
            </w:r>
            <w:r w:rsidDel="00000000" w:rsidR="00000000" w:rsidRPr="00000000">
              <w:rPr>
                <w:vertAlign w:val="superscript"/>
                <w:rtl w:val="0"/>
              </w:rPr>
              <w:t xml:space="preserve">4</w:t>
            </w:r>
            <w:r w:rsidDel="00000000" w:rsidR="00000000" w:rsidRPr="00000000">
              <w:rPr>
                <w:rtl w:val="0"/>
              </w:rPr>
              <w:t xml:space="preserve">)</w:t>
              <w:tab/>
              <w:t xml:space="preserve">List the committees first, in the order in which they are set out in Annex VI to the Rules. Then list the political groups in order of their numerical size. Include the names of MEPs signing individually at the bottom of the list.</w:t>
            </w:r>
          </w:p>
          <w:p w:rsidR="00000000" w:rsidDel="00000000" w:rsidP="00000000" w:rsidRDefault="00000000" w:rsidRPr="00000000" w14:paraId="0000002E">
            <w:pPr>
              <w:tabs>
                <w:tab w:val="left" w:pos="-1248"/>
                <w:tab w:val="left" w:pos="-192"/>
                <w:tab w:val="left" w:pos="480"/>
                <w:tab w:val="left" w:pos="731"/>
                <w:tab w:val="left" w:pos="1104"/>
                <w:tab w:val="left" w:pos="1536"/>
                <w:tab w:val="left" w:pos="2112"/>
                <w:tab w:val="left" w:pos="2688"/>
                <w:tab w:val="left" w:pos="3264"/>
                <w:tab w:val="left" w:pos="3840"/>
                <w:tab w:val="left" w:pos="4368"/>
                <w:tab w:val="left" w:pos="4944"/>
                <w:tab w:val="left" w:pos="5520"/>
                <w:tab w:val="left" w:pos="6096"/>
                <w:tab w:val="left" w:pos="6672"/>
                <w:tab w:val="left" w:pos="7200"/>
                <w:tab w:val="left" w:pos="7776"/>
                <w:tab w:val="left" w:pos="8352"/>
                <w:tab w:val="left" w:pos="8928"/>
                <w:tab w:val="left" w:pos="9504"/>
              </w:tabs>
              <w:ind w:left="480" w:hanging="480"/>
              <w:jc w:val="both"/>
              <w:rPr/>
            </w:pPr>
            <w:r w:rsidDel="00000000" w:rsidR="00000000" w:rsidRPr="00000000">
              <w:rPr>
                <w:rtl w:val="0"/>
              </w:rPr>
              <w:t xml:space="preserve">(</w:t>
            </w:r>
            <w:r w:rsidDel="00000000" w:rsidR="00000000" w:rsidRPr="00000000">
              <w:rPr>
                <w:vertAlign w:val="superscript"/>
                <w:rtl w:val="0"/>
              </w:rPr>
              <w:t xml:space="preserve">5</w:t>
            </w:r>
            <w:r w:rsidDel="00000000" w:rsidR="00000000" w:rsidRPr="00000000">
              <w:rPr>
                <w:rtl w:val="0"/>
              </w:rPr>
              <w:t xml:space="preserve">)</w:t>
              <w:tab/>
              <w:t xml:space="preserve">Variable, depending on DG. See </w:t>
            </w:r>
            <w:r w:rsidDel="00000000" w:rsidR="00000000" w:rsidRPr="00000000">
              <w:rPr>
                <w:i w:val="1"/>
                <w:rtl w:val="0"/>
              </w:rPr>
              <w:t xml:space="preserve">00_02. Rules on footers in Parliament’s documents</w:t>
            </w:r>
            <w:r w:rsidDel="00000000" w:rsidR="00000000" w:rsidRPr="00000000">
              <w:rPr>
                <w:rtl w:val="0"/>
              </w:rPr>
              <w:t xml:space="preserve">.</w:t>
            </w:r>
          </w:p>
        </w:tc>
      </w:tr>
    </w:tbl>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widowControl w:val="1"/>
        <w:rPr/>
      </w:pPr>
      <w:r w:rsidDel="00000000" w:rsidR="00000000" w:rsidRPr="00000000">
        <w:br w:type="page"/>
      </w:r>
      <w:r w:rsidDel="00000000" w:rsidR="00000000" w:rsidRPr="00000000">
        <w:rPr>
          <w:rtl w:val="0"/>
        </w:rPr>
      </w:r>
    </w:p>
    <w:p w:rsidR="00000000" w:rsidDel="00000000" w:rsidP="00000000" w:rsidRDefault="00000000" w:rsidRPr="00000000" w14:paraId="0000003D">
      <w:pPr>
        <w:tabs>
          <w:tab w:val="left" w:pos="-672"/>
          <w:tab w:val="left" w:pos="-96"/>
          <w:tab w:val="left" w:pos="240"/>
          <w:tab w:val="left" w:pos="528"/>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sz w:val="24"/>
          <w:szCs w:val="24"/>
        </w:rPr>
      </w:pPr>
      <w:r w:rsidDel="00000000" w:rsidR="00000000" w:rsidRPr="00000000">
        <w:rPr>
          <w:rtl w:val="0"/>
        </w:rPr>
      </w:r>
    </w:p>
    <w:tbl>
      <w:tblPr>
        <w:tblStyle w:val="Table5"/>
        <w:tblW w:w="963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c>
          <w:tcPr>
            <w:shd w:fill="d9d9d9" w:val="clear"/>
          </w:tcPr>
          <w:p w:rsidR="00000000" w:rsidDel="00000000" w:rsidP="00000000" w:rsidRDefault="00000000" w:rsidRPr="00000000" w14:paraId="0000003E">
            <w:pPr>
              <w:tabs>
                <w:tab w:val="left" w:pos="-1248"/>
                <w:tab w:val="left" w:pos="-192"/>
                <w:tab w:val="left" w:pos="447"/>
                <w:tab w:val="left" w:pos="851"/>
                <w:tab w:val="left" w:pos="1104"/>
                <w:tab w:val="left" w:pos="1536"/>
                <w:tab w:val="left" w:pos="2112"/>
                <w:tab w:val="left" w:pos="2688"/>
                <w:tab w:val="left" w:pos="3264"/>
                <w:tab w:val="left" w:pos="3840"/>
                <w:tab w:val="left" w:pos="4368"/>
                <w:tab w:val="left" w:pos="4944"/>
                <w:tab w:val="left" w:pos="5520"/>
                <w:tab w:val="left" w:pos="6096"/>
                <w:tab w:val="left" w:pos="6672"/>
                <w:tab w:val="left" w:pos="7200"/>
                <w:tab w:val="left" w:pos="7776"/>
                <w:tab w:val="left" w:pos="8352"/>
                <w:tab w:val="left" w:pos="8928"/>
                <w:tab w:val="left" w:pos="9504"/>
              </w:tabs>
              <w:ind w:left="335" w:hanging="335"/>
              <w:rPr>
                <w:sz w:val="24"/>
                <w:szCs w:val="24"/>
              </w:rPr>
            </w:pPr>
            <w:r w:rsidDel="00000000" w:rsidR="00000000" w:rsidRPr="00000000">
              <w:rPr>
                <w:sz w:val="24"/>
                <w:szCs w:val="24"/>
                <w:rtl w:val="0"/>
              </w:rPr>
              <w:tab/>
              <w:tab/>
              <w:t xml:space="preserve">–</w:t>
              <w:tab/>
              <w:tab/>
              <w:t xml:space="preserve">Pages for plenary sitting</w:t>
            </w:r>
          </w:p>
        </w:tc>
      </w:tr>
    </w:tbl>
    <w:p w:rsidR="00000000" w:rsidDel="00000000" w:rsidP="00000000" w:rsidRDefault="00000000" w:rsidRPr="00000000" w14:paraId="0000003F">
      <w:pPr>
        <w:tabs>
          <w:tab w:val="left" w:pos="-672"/>
          <w:tab w:val="left" w:pos="-96"/>
          <w:tab w:val="left" w:pos="240"/>
          <w:tab w:val="left" w:pos="528"/>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b w:val="1"/>
          <w:sz w:val="24"/>
          <w:szCs w:val="24"/>
        </w:rPr>
      </w:pPr>
      <w:r w:rsidDel="00000000" w:rsidR="00000000" w:rsidRPr="00000000">
        <w:rPr>
          <w:rtl w:val="0"/>
        </w:rPr>
      </w:r>
    </w:p>
    <w:p w:rsidR="00000000" w:rsidDel="00000000" w:rsidP="00000000" w:rsidRDefault="00000000" w:rsidRPr="00000000" w14:paraId="00000040">
      <w:pPr>
        <w:tabs>
          <w:tab w:val="left" w:pos="-672"/>
          <w:tab w:val="left" w:pos="-96"/>
          <w:tab w:val="left" w:pos="240"/>
          <w:tab w:val="left" w:pos="528"/>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b w:val="1"/>
          <w:sz w:val="24"/>
          <w:szCs w:val="24"/>
        </w:rPr>
      </w:pPr>
      <w:r w:rsidDel="00000000" w:rsidR="00000000" w:rsidRPr="00000000">
        <w:rPr>
          <w:b w:val="1"/>
          <w:sz w:val="24"/>
          <w:szCs w:val="24"/>
          <w:rtl w:val="0"/>
        </w:rPr>
        <w:t xml:space="preserve">European Parliament resolution on [Commemoration of the 30th anniversary of the Romanian revolution of December 1989]</w:t>
      </w:r>
    </w:p>
    <w:p w:rsidR="00000000" w:rsidDel="00000000" w:rsidP="00000000" w:rsidRDefault="00000000" w:rsidRPr="00000000" w14:paraId="00000041">
      <w:pPr>
        <w:tabs>
          <w:tab w:val="left" w:pos="-672"/>
          <w:tab w:val="left" w:pos="-96"/>
          <w:tab w:val="left" w:pos="240"/>
          <w:tab w:val="left" w:pos="528"/>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pPr>
      <w:r w:rsidDel="00000000" w:rsidR="00000000" w:rsidRPr="00000000">
        <w:rPr>
          <w:b w:val="1"/>
          <w:sz w:val="24"/>
          <w:szCs w:val="24"/>
          <w:rtl w:val="0"/>
        </w:rPr>
        <w:t xml:space="preserve">([2019/2897](RSP))</w:t>
      </w: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tabs>
          <w:tab w:val="center" w:pos="4535"/>
          <w:tab w:val="right" w:pos="9781"/>
        </w:tabs>
        <w:spacing w:after="0" w:before="0" w:line="240" w:lineRule="auto"/>
        <w:ind w:left="-142" w:right="401" w:firstLine="142"/>
        <w:jc w:val="right"/>
        <w:rPr>
          <w:rFonts w:ascii="Arial" w:cs="Arial" w:eastAsia="Arial" w:hAnsi="Arial"/>
          <w:b w:val="1"/>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43">
      <w:pPr>
        <w:tabs>
          <w:tab w:val="left" w:pos="-672"/>
          <w:tab w:val="left" w:pos="-96"/>
          <w:tab w:val="left" w:pos="240"/>
          <w:tab w:val="left" w:pos="528"/>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sz w:val="24"/>
          <w:szCs w:val="24"/>
        </w:rPr>
      </w:pPr>
      <w:r w:rsidDel="00000000" w:rsidR="00000000" w:rsidRPr="00000000">
        <w:rPr>
          <w:i w:val="1"/>
          <w:sz w:val="24"/>
          <w:szCs w:val="24"/>
          <w:rtl w:val="0"/>
        </w:rPr>
        <w:t xml:space="preserve">The European Parliament</w:t>
      </w:r>
      <w:r w:rsidDel="00000000" w:rsidR="00000000" w:rsidRPr="00000000">
        <w:rPr>
          <w:sz w:val="24"/>
          <w:szCs w:val="24"/>
          <w:rtl w:val="0"/>
        </w:rPr>
        <w:t xml:space="preserve">,</w:t>
      </w:r>
    </w:p>
    <w:p w:rsidR="00000000" w:rsidDel="00000000" w:rsidP="00000000" w:rsidRDefault="00000000" w:rsidRPr="00000000" w14:paraId="00000044">
      <w:pPr>
        <w:tabs>
          <w:tab w:val="left" w:pos="-672"/>
          <w:tab w:val="left" w:pos="-96"/>
          <w:tab w:val="left" w:pos="240"/>
          <w:tab w:val="left" w:pos="528"/>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sz w:val="24"/>
          <w:szCs w:val="24"/>
        </w:rPr>
      </w:pPr>
      <w:r w:rsidDel="00000000" w:rsidR="00000000" w:rsidRPr="00000000">
        <w:rPr>
          <w:rtl w:val="0"/>
        </w:rPr>
      </w:r>
    </w:p>
    <w:p w:rsidR="00000000" w:rsidDel="00000000" w:rsidP="00000000" w:rsidRDefault="00000000" w:rsidRPr="00000000" w14:paraId="00000045">
      <w:pPr>
        <w:tabs>
          <w:tab w:val="left" w:pos="-672"/>
          <w:tab w:val="left" w:pos="-96"/>
          <w:tab w:val="left" w:pos="240"/>
          <w:tab w:val="left" w:pos="528"/>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sz w:val="24"/>
          <w:szCs w:val="24"/>
        </w:rPr>
      </w:pPr>
      <w:r w:rsidDel="00000000" w:rsidR="00000000" w:rsidRPr="00000000">
        <w:rPr>
          <w:sz w:val="24"/>
          <w:szCs w:val="24"/>
          <w:rtl w:val="0"/>
        </w:rPr>
        <w:t xml:space="preserve">- having regard to the universality of human rights and the fundamental principles of the European Union, a community based on shared values,</w:t>
      </w:r>
    </w:p>
    <w:p w:rsidR="00000000" w:rsidDel="00000000" w:rsidP="00000000" w:rsidRDefault="00000000" w:rsidRPr="00000000" w14:paraId="00000046">
      <w:pPr>
        <w:tabs>
          <w:tab w:val="left" w:pos="-672"/>
          <w:tab w:val="left" w:pos="-96"/>
          <w:tab w:val="left" w:pos="240"/>
          <w:tab w:val="left" w:pos="528"/>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sz w:val="24"/>
          <w:szCs w:val="24"/>
        </w:rPr>
      </w:pPr>
      <w:r w:rsidDel="00000000" w:rsidR="00000000" w:rsidRPr="00000000">
        <w:rPr>
          <w:rtl w:val="0"/>
        </w:rPr>
      </w:r>
    </w:p>
    <w:p w:rsidR="00000000" w:rsidDel="00000000" w:rsidP="00000000" w:rsidRDefault="00000000" w:rsidRPr="00000000" w14:paraId="00000047">
      <w:pPr>
        <w:tabs>
          <w:tab w:val="left" w:pos="-672"/>
          <w:tab w:val="left" w:pos="-96"/>
          <w:tab w:val="left" w:pos="240"/>
          <w:tab w:val="left" w:pos="528"/>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sz w:val="24"/>
          <w:szCs w:val="24"/>
        </w:rPr>
      </w:pPr>
      <w:r w:rsidDel="00000000" w:rsidR="00000000" w:rsidRPr="00000000">
        <w:rPr>
          <w:sz w:val="24"/>
          <w:szCs w:val="24"/>
          <w:rtl w:val="0"/>
        </w:rPr>
        <w:t xml:space="preserve">- having regard to the United Nations Universal Declaration of Human Rights adopted on 10 December 1948,</w:t>
      </w:r>
    </w:p>
    <w:p w:rsidR="00000000" w:rsidDel="00000000" w:rsidP="00000000" w:rsidRDefault="00000000" w:rsidRPr="00000000" w14:paraId="00000048">
      <w:pPr>
        <w:tabs>
          <w:tab w:val="left" w:pos="-672"/>
          <w:tab w:val="left" w:pos="-96"/>
          <w:tab w:val="left" w:pos="240"/>
          <w:tab w:val="left" w:pos="528"/>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sz w:val="24"/>
          <w:szCs w:val="24"/>
        </w:rPr>
      </w:pPr>
      <w:r w:rsidDel="00000000" w:rsidR="00000000" w:rsidRPr="00000000">
        <w:rPr>
          <w:rtl w:val="0"/>
        </w:rPr>
      </w:r>
    </w:p>
    <w:p w:rsidR="00000000" w:rsidDel="00000000" w:rsidP="00000000" w:rsidRDefault="00000000" w:rsidRPr="00000000" w14:paraId="00000049">
      <w:pPr>
        <w:tabs>
          <w:tab w:val="left" w:pos="-672"/>
          <w:tab w:val="left" w:pos="-96"/>
          <w:tab w:val="left" w:pos="240"/>
          <w:tab w:val="left" w:pos="528"/>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sz w:val="24"/>
          <w:szCs w:val="24"/>
        </w:rPr>
      </w:pPr>
      <w:r w:rsidDel="00000000" w:rsidR="00000000" w:rsidRPr="00000000">
        <w:rPr>
          <w:sz w:val="24"/>
          <w:szCs w:val="24"/>
          <w:rtl w:val="0"/>
        </w:rPr>
        <w:t xml:space="preserve">- having regard to its Resolution of 19 September 2019 on the importance of European remembrance for the future of Europe,</w:t>
      </w:r>
    </w:p>
    <w:p w:rsidR="00000000" w:rsidDel="00000000" w:rsidP="00000000" w:rsidRDefault="00000000" w:rsidRPr="00000000" w14:paraId="0000004A">
      <w:pPr>
        <w:tabs>
          <w:tab w:val="left" w:pos="-672"/>
          <w:tab w:val="left" w:pos="-96"/>
          <w:tab w:val="left" w:pos="240"/>
          <w:tab w:val="left" w:pos="528"/>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sz w:val="24"/>
          <w:szCs w:val="24"/>
        </w:rPr>
      </w:pPr>
      <w:r w:rsidDel="00000000" w:rsidR="00000000" w:rsidRPr="00000000">
        <w:rPr>
          <w:rtl w:val="0"/>
        </w:rPr>
      </w:r>
    </w:p>
    <w:p w:rsidR="00000000" w:rsidDel="00000000" w:rsidP="00000000" w:rsidRDefault="00000000" w:rsidRPr="00000000" w14:paraId="0000004B">
      <w:pPr>
        <w:tabs>
          <w:tab w:val="left" w:pos="-672"/>
          <w:tab w:val="left" w:pos="-96"/>
          <w:tab w:val="left" w:pos="240"/>
          <w:tab w:val="left" w:pos="528"/>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sz w:val="24"/>
          <w:szCs w:val="24"/>
        </w:rPr>
      </w:pPr>
      <w:r w:rsidDel="00000000" w:rsidR="00000000" w:rsidRPr="00000000">
        <w:rPr>
          <w:sz w:val="24"/>
          <w:szCs w:val="24"/>
          <w:rtl w:val="0"/>
        </w:rPr>
        <w:t xml:space="preserve">- having regard to the Resolutions and Declarations on crimes committed by totalitarian communist regimes adopted by a number of national parliaments,</w:t>
      </w:r>
    </w:p>
    <w:p w:rsidR="00000000" w:rsidDel="00000000" w:rsidP="00000000" w:rsidRDefault="00000000" w:rsidRPr="00000000" w14:paraId="0000004C">
      <w:pPr>
        <w:tabs>
          <w:tab w:val="left" w:pos="-672"/>
          <w:tab w:val="left" w:pos="-96"/>
          <w:tab w:val="left" w:pos="240"/>
          <w:tab w:val="left" w:pos="528"/>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sz w:val="24"/>
          <w:szCs w:val="24"/>
        </w:rPr>
      </w:pPr>
      <w:r w:rsidDel="00000000" w:rsidR="00000000" w:rsidRPr="00000000">
        <w:rPr>
          <w:rtl w:val="0"/>
        </w:rPr>
      </w:r>
    </w:p>
    <w:p w:rsidR="00000000" w:rsidDel="00000000" w:rsidP="00000000" w:rsidRDefault="00000000" w:rsidRPr="00000000" w14:paraId="0000004D">
      <w:pPr>
        <w:tabs>
          <w:tab w:val="left" w:pos="-672"/>
          <w:tab w:val="left" w:pos="-96"/>
          <w:tab w:val="left" w:pos="240"/>
          <w:tab w:val="left" w:pos="528"/>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sz w:val="24"/>
          <w:szCs w:val="24"/>
        </w:rPr>
      </w:pPr>
      <w:r w:rsidDel="00000000" w:rsidR="00000000" w:rsidRPr="00000000">
        <w:rPr>
          <w:sz w:val="24"/>
          <w:szCs w:val="24"/>
          <w:rtl w:val="0"/>
        </w:rPr>
        <w:t xml:space="preserve">- having regard to Rule 132/2 of its Rules of Procedure,</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tabs>
          <w:tab w:val="left" w:pos="-1104"/>
          <w:tab w:val="left" w:pos="-96"/>
          <w:tab w:val="left" w:pos="240"/>
          <w:tab w:val="left" w:pos="624"/>
          <w:tab w:val="left" w:pos="1200"/>
          <w:tab w:val="left" w:pos="1824"/>
          <w:tab w:val="left" w:pos="2400"/>
          <w:tab w:val="left" w:pos="3024"/>
          <w:tab w:val="left" w:pos="3600"/>
          <w:tab w:val="left" w:pos="4224"/>
          <w:tab w:val="left" w:pos="4800"/>
          <w:tab w:val="left" w:pos="5424"/>
          <w:tab w:val="left" w:pos="6000"/>
          <w:tab w:val="left" w:pos="6624"/>
          <w:tab w:val="left" w:pos="7200"/>
          <w:tab w:val="left" w:pos="7824"/>
          <w:tab w:val="left" w:pos="8400"/>
          <w:tab w:val="left" w:pos="902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tabs>
          <w:tab w:val="left" w:pos="-1104"/>
          <w:tab w:val="left" w:pos="-142"/>
          <w:tab w:val="left" w:pos="-96"/>
          <w:tab w:val="left" w:pos="672"/>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pPr>
      <w:r w:rsidDel="00000000" w:rsidR="00000000" w:rsidRPr="00000000">
        <w:rPr>
          <w:sz w:val="24"/>
          <w:szCs w:val="24"/>
          <w:rtl w:val="0"/>
        </w:rPr>
        <w:t xml:space="preserve">A. whereas the 30 years commemoration of the Romanian Revolution, triggered by the uprisings in Timișoara, that later continued in all localities of the country and culminated into an anti-totalitarian revolution ending in Bucharest, leading to the fall of the communist regime and the enactment of democracy, tragically marked the transition of the Romanian people towards freedom and the rule of law, which resulted in the loss of 1142 human lives, 3138 people gravely injured, and over 760 individuals illegally detained and tortured;</w:t>
      </w:r>
      <w:r w:rsidDel="00000000" w:rsidR="00000000" w:rsidRPr="00000000">
        <w:rPr>
          <w:rtl w:val="0"/>
        </w:rPr>
      </w:r>
    </w:p>
    <w:p w:rsidR="00000000" w:rsidDel="00000000" w:rsidP="00000000" w:rsidRDefault="00000000" w:rsidRPr="00000000" w14:paraId="00000050">
      <w:pPr>
        <w:tabs>
          <w:tab w:val="left" w:pos="-1104"/>
          <w:tab w:val="left" w:pos="-96"/>
          <w:tab w:val="left" w:pos="336"/>
          <w:tab w:val="left" w:pos="672"/>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sz w:val="24"/>
          <w:szCs w:val="24"/>
        </w:rPr>
      </w:pPr>
      <w:r w:rsidDel="00000000" w:rsidR="00000000" w:rsidRPr="00000000">
        <w:rPr>
          <w:rtl w:val="0"/>
        </w:rPr>
      </w:r>
    </w:p>
    <w:p w:rsidR="00000000" w:rsidDel="00000000" w:rsidP="00000000" w:rsidRDefault="00000000" w:rsidRPr="00000000" w14:paraId="00000051">
      <w:pPr>
        <w:tabs>
          <w:tab w:val="left" w:pos="-1104"/>
          <w:tab w:val="left" w:pos="-96"/>
          <w:tab w:val="left" w:pos="0"/>
          <w:tab w:val="left" w:pos="672"/>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b w:val="1"/>
        </w:rPr>
      </w:pPr>
      <w:r w:rsidDel="00000000" w:rsidR="00000000" w:rsidRPr="00000000">
        <w:rPr>
          <w:sz w:val="24"/>
          <w:szCs w:val="24"/>
          <w:rtl w:val="0"/>
        </w:rPr>
        <w:t xml:space="preserve">B. whereas the Romanian Revolution of December 1989 was the most violent of all the uprisings leading to the fall of communism in the states behind the Iron Curtain;</w:t>
      </w:r>
      <w:r w:rsidDel="00000000" w:rsidR="00000000" w:rsidRPr="00000000">
        <w:rPr>
          <w:rtl w:val="0"/>
        </w:rPr>
      </w:r>
    </w:p>
    <w:p w:rsidR="00000000" w:rsidDel="00000000" w:rsidP="00000000" w:rsidRDefault="00000000" w:rsidRPr="00000000" w14:paraId="00000052">
      <w:pPr>
        <w:tabs>
          <w:tab w:val="left" w:pos="-672"/>
          <w:tab w:val="left" w:pos="-96"/>
          <w:tab w:val="left" w:pos="0"/>
          <w:tab w:val="left" w:pos="624"/>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sz w:val="24"/>
          <w:szCs w:val="24"/>
        </w:rPr>
      </w:pPr>
      <w:r w:rsidDel="00000000" w:rsidR="00000000" w:rsidRPr="00000000">
        <w:rPr>
          <w:rtl w:val="0"/>
        </w:rPr>
      </w:r>
    </w:p>
    <w:p w:rsidR="00000000" w:rsidDel="00000000" w:rsidP="00000000" w:rsidRDefault="00000000" w:rsidRPr="00000000" w14:paraId="00000053">
      <w:pPr>
        <w:tabs>
          <w:tab w:val="left" w:pos="-1104"/>
          <w:tab w:val="left" w:pos="-96"/>
          <w:tab w:val="left" w:pos="0"/>
          <w:tab w:val="left" w:pos="672"/>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sz w:val="24"/>
          <w:szCs w:val="24"/>
        </w:rPr>
      </w:pPr>
      <w:r w:rsidDel="00000000" w:rsidR="00000000" w:rsidRPr="00000000">
        <w:rPr>
          <w:sz w:val="24"/>
          <w:szCs w:val="24"/>
          <w:rtl w:val="0"/>
        </w:rPr>
        <w:t xml:space="preserve">C. whereas the December 1989 Revolution and the sacrifice of Romanian citizens who courageously stood in front of bullets, opened the country's path towards NATO, the European Union and the democratic world, from which it has been previously torn away against the will of the Romanian people, after the end of the Second World War;</w:t>
      </w:r>
    </w:p>
    <w:p w:rsidR="00000000" w:rsidDel="00000000" w:rsidP="00000000" w:rsidRDefault="00000000" w:rsidRPr="00000000" w14:paraId="00000054">
      <w:pPr>
        <w:tabs>
          <w:tab w:val="left" w:pos="-1104"/>
          <w:tab w:val="left" w:pos="-96"/>
          <w:tab w:val="left" w:pos="336"/>
          <w:tab w:val="left" w:pos="672"/>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ind w:left="336" w:hanging="336"/>
        <w:jc w:val="both"/>
        <w:rPr>
          <w:sz w:val="24"/>
          <w:szCs w:val="24"/>
        </w:rPr>
      </w:pPr>
      <w:r w:rsidDel="00000000" w:rsidR="00000000" w:rsidRPr="00000000">
        <w:rPr>
          <w:rtl w:val="0"/>
        </w:rPr>
      </w:r>
    </w:p>
    <w:p w:rsidR="00000000" w:rsidDel="00000000" w:rsidP="00000000" w:rsidRDefault="00000000" w:rsidRPr="00000000" w14:paraId="00000055">
      <w:pPr>
        <w:tabs>
          <w:tab w:val="left" w:pos="-1104"/>
          <w:tab w:val="left" w:pos="-96"/>
          <w:tab w:val="left" w:pos="336"/>
          <w:tab w:val="left" w:pos="672"/>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sz w:val="24"/>
          <w:szCs w:val="24"/>
        </w:rPr>
      </w:pPr>
      <w:r w:rsidDel="00000000" w:rsidR="00000000" w:rsidRPr="00000000">
        <w:rPr>
          <w:sz w:val="24"/>
          <w:szCs w:val="24"/>
          <w:rtl w:val="0"/>
        </w:rPr>
        <w:t xml:space="preserve">D. whereas the use of force against the Romanian people in December 1989 painfully shook the entire Romanian society, and the identification of the real perpetrators of these crimes remains an agonising question for the victims, their families and for all Romanian citizens; </w:t>
      </w:r>
    </w:p>
    <w:p w:rsidR="00000000" w:rsidDel="00000000" w:rsidP="00000000" w:rsidRDefault="00000000" w:rsidRPr="00000000" w14:paraId="00000056">
      <w:pPr>
        <w:tabs>
          <w:tab w:val="left" w:pos="-1104"/>
          <w:tab w:val="left" w:pos="-96"/>
          <w:tab w:val="left" w:pos="336"/>
          <w:tab w:val="left" w:pos="672"/>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sz w:val="24"/>
          <w:szCs w:val="24"/>
        </w:rPr>
      </w:pPr>
      <w:r w:rsidDel="00000000" w:rsidR="00000000" w:rsidRPr="00000000">
        <w:rPr>
          <w:rtl w:val="0"/>
        </w:rPr>
      </w:r>
    </w:p>
    <w:p w:rsidR="00000000" w:rsidDel="00000000" w:rsidP="00000000" w:rsidRDefault="00000000" w:rsidRPr="00000000" w14:paraId="00000057">
      <w:pPr>
        <w:tabs>
          <w:tab w:val="left" w:pos="-1104"/>
          <w:tab w:val="left" w:pos="-96"/>
          <w:tab w:val="left" w:pos="336"/>
          <w:tab w:val="left" w:pos="672"/>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sz w:val="24"/>
          <w:szCs w:val="24"/>
        </w:rPr>
      </w:pPr>
      <w:r w:rsidDel="00000000" w:rsidR="00000000" w:rsidRPr="00000000">
        <w:rPr>
          <w:sz w:val="24"/>
          <w:szCs w:val="24"/>
          <w:rtl w:val="0"/>
        </w:rPr>
        <w:t xml:space="preserve">E. whereas no act of military aggression against one's own people should remain unpunished;</w:t>
      </w:r>
    </w:p>
    <w:p w:rsidR="00000000" w:rsidDel="00000000" w:rsidP="00000000" w:rsidRDefault="00000000" w:rsidRPr="00000000" w14:paraId="00000058">
      <w:pPr>
        <w:tabs>
          <w:tab w:val="left" w:pos="-1104"/>
          <w:tab w:val="left" w:pos="-96"/>
          <w:tab w:val="left" w:pos="336"/>
          <w:tab w:val="left" w:pos="672"/>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sz w:val="24"/>
          <w:szCs w:val="24"/>
        </w:rPr>
      </w:pPr>
      <w:r w:rsidDel="00000000" w:rsidR="00000000" w:rsidRPr="00000000">
        <w:rPr>
          <w:rtl w:val="0"/>
        </w:rPr>
      </w:r>
    </w:p>
    <w:p w:rsidR="00000000" w:rsidDel="00000000" w:rsidP="00000000" w:rsidRDefault="00000000" w:rsidRPr="00000000" w14:paraId="00000059">
      <w:pPr>
        <w:tabs>
          <w:tab w:val="left" w:pos="-1104"/>
          <w:tab w:val="left" w:pos="-96"/>
          <w:tab w:val="left" w:pos="336"/>
          <w:tab w:val="left" w:pos="672"/>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sz w:val="24"/>
          <w:szCs w:val="24"/>
        </w:rPr>
      </w:pPr>
      <w:r w:rsidDel="00000000" w:rsidR="00000000" w:rsidRPr="00000000">
        <w:rPr>
          <w:sz w:val="24"/>
          <w:szCs w:val="24"/>
          <w:rtl w:val="0"/>
        </w:rPr>
        <w:t xml:space="preserve">F. whereas the European Court of Human Rights judgements (</w:t>
      </w:r>
      <w:r w:rsidDel="00000000" w:rsidR="00000000" w:rsidRPr="00000000">
        <w:rPr>
          <w:i w:val="1"/>
          <w:sz w:val="24"/>
          <w:szCs w:val="24"/>
          <w:rtl w:val="0"/>
        </w:rPr>
        <w:t xml:space="preserve">Association "21 December 1989" and others v. Romania</w:t>
      </w:r>
      <w:r w:rsidDel="00000000" w:rsidR="00000000" w:rsidRPr="00000000">
        <w:rPr>
          <w:sz w:val="24"/>
          <w:szCs w:val="24"/>
          <w:rtl w:val="0"/>
        </w:rPr>
        <w:t xml:space="preserve">; </w:t>
      </w:r>
      <w:r w:rsidDel="00000000" w:rsidR="00000000" w:rsidRPr="00000000">
        <w:rPr>
          <w:i w:val="1"/>
          <w:sz w:val="24"/>
          <w:szCs w:val="24"/>
          <w:rtl w:val="0"/>
        </w:rPr>
        <w:t xml:space="preserve">Acatrinei and others v. Romania</w:t>
      </w:r>
      <w:r w:rsidDel="00000000" w:rsidR="00000000" w:rsidRPr="00000000">
        <w:rPr>
          <w:sz w:val="24"/>
          <w:szCs w:val="24"/>
          <w:rtl w:val="0"/>
        </w:rPr>
        <w:t xml:space="preserve">; </w:t>
      </w:r>
      <w:r w:rsidDel="00000000" w:rsidR="00000000" w:rsidRPr="00000000">
        <w:rPr>
          <w:i w:val="1"/>
          <w:sz w:val="24"/>
          <w:szCs w:val="24"/>
          <w:rtl w:val="0"/>
        </w:rPr>
        <w:t xml:space="preserve">Șandru and others v. Romania</w:t>
      </w:r>
      <w:r w:rsidDel="00000000" w:rsidR="00000000" w:rsidRPr="00000000">
        <w:rPr>
          <w:sz w:val="24"/>
          <w:szCs w:val="24"/>
          <w:rtl w:val="0"/>
        </w:rPr>
        <w:t xml:space="preserve">) recognize that during the Revolution massive violations of fundamental rights occurred - such as violations of the right to life, violations of the prohibition of torture and inhuman or degrading treatment, violations of the right to respect for private and family life - perpetrated by the forces of the communist dictatorial regime that opened fire against peaceful protesters, depriving of liberty a large number of demonstrators against Ceaușescu’s oppression; whereas, after all this time, both the victims and their heirs did not learn the truth about the exact circumstances of these tragedies; </w:t>
      </w:r>
    </w:p>
    <w:p w:rsidR="00000000" w:rsidDel="00000000" w:rsidP="00000000" w:rsidRDefault="00000000" w:rsidRPr="00000000" w14:paraId="0000005A">
      <w:pPr>
        <w:tabs>
          <w:tab w:val="left" w:pos="-1104"/>
          <w:tab w:val="left" w:pos="-96"/>
          <w:tab w:val="left" w:pos="336"/>
          <w:tab w:val="left" w:pos="672"/>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sz w:val="24"/>
          <w:szCs w:val="24"/>
        </w:rPr>
      </w:pPr>
      <w:r w:rsidDel="00000000" w:rsidR="00000000" w:rsidRPr="00000000">
        <w:rPr>
          <w:rtl w:val="0"/>
        </w:rPr>
      </w:r>
    </w:p>
    <w:p w:rsidR="00000000" w:rsidDel="00000000" w:rsidP="00000000" w:rsidRDefault="00000000" w:rsidRPr="00000000" w14:paraId="0000005B">
      <w:pPr>
        <w:tabs>
          <w:tab w:val="left" w:pos="-1104"/>
          <w:tab w:val="left" w:pos="-96"/>
          <w:tab w:val="left" w:pos="336"/>
          <w:tab w:val="left" w:pos="672"/>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sz w:val="24"/>
          <w:szCs w:val="24"/>
        </w:rPr>
      </w:pPr>
      <w:r w:rsidDel="00000000" w:rsidR="00000000" w:rsidRPr="00000000">
        <w:rPr>
          <w:sz w:val="24"/>
          <w:szCs w:val="24"/>
          <w:rtl w:val="0"/>
        </w:rPr>
        <w:t xml:space="preserve">G. whereas, as enshrined in Article 2 of the TEU, the Union is founded on the values of respect for human dignity, freedom, democracy, equality, the rule of law, and respect for human rights; whereas these values are common to all Member States;</w:t>
      </w:r>
    </w:p>
    <w:p w:rsidR="00000000" w:rsidDel="00000000" w:rsidP="00000000" w:rsidRDefault="00000000" w:rsidRPr="00000000" w14:paraId="0000005C">
      <w:pPr>
        <w:tabs>
          <w:tab w:val="left" w:pos="-1104"/>
          <w:tab w:val="left" w:pos="-96"/>
          <w:tab w:val="left" w:pos="336"/>
          <w:tab w:val="left" w:pos="672"/>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sz w:val="24"/>
          <w:szCs w:val="24"/>
        </w:rPr>
      </w:pPr>
      <w:r w:rsidDel="00000000" w:rsidR="00000000" w:rsidRPr="00000000">
        <w:rPr>
          <w:rtl w:val="0"/>
        </w:rPr>
      </w:r>
    </w:p>
    <w:p w:rsidR="00000000" w:rsidDel="00000000" w:rsidP="00000000" w:rsidRDefault="00000000" w:rsidRPr="00000000" w14:paraId="0000005D">
      <w:pPr>
        <w:tabs>
          <w:tab w:val="left" w:pos="-1104"/>
          <w:tab w:val="left" w:pos="-96"/>
          <w:tab w:val="left" w:pos="336"/>
          <w:tab w:val="left" w:pos="672"/>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sz w:val="24"/>
          <w:szCs w:val="24"/>
        </w:rPr>
      </w:pPr>
      <w:r w:rsidDel="00000000" w:rsidR="00000000" w:rsidRPr="00000000">
        <w:rPr>
          <w:sz w:val="24"/>
          <w:szCs w:val="24"/>
          <w:rtl w:val="0"/>
        </w:rPr>
        <w:t xml:space="preserve">H. whereas the Romanian State has unnecessarily delayed the elucidation and availability of the truth which is paramount for guarantying the right of victims and their heirs to equitable compensation and reparation, the national authorities failing to act with the necessary due diligence imposed by international human rights norms;</w:t>
      </w:r>
    </w:p>
    <w:p w:rsidR="00000000" w:rsidDel="00000000" w:rsidP="00000000" w:rsidRDefault="00000000" w:rsidRPr="00000000" w14:paraId="0000005E">
      <w:pPr>
        <w:tabs>
          <w:tab w:val="left" w:pos="-1104"/>
          <w:tab w:val="left" w:pos="-96"/>
          <w:tab w:val="left" w:pos="336"/>
          <w:tab w:val="left" w:pos="672"/>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sz w:val="24"/>
          <w:szCs w:val="24"/>
        </w:rPr>
      </w:pPr>
      <w:r w:rsidDel="00000000" w:rsidR="00000000" w:rsidRPr="00000000">
        <w:rPr>
          <w:rtl w:val="0"/>
        </w:rPr>
      </w:r>
    </w:p>
    <w:p w:rsidR="00000000" w:rsidDel="00000000" w:rsidP="00000000" w:rsidRDefault="00000000" w:rsidRPr="00000000" w14:paraId="0000005F">
      <w:pPr>
        <w:tabs>
          <w:tab w:val="left" w:pos="-1104"/>
          <w:tab w:val="left" w:pos="-96"/>
          <w:tab w:val="left" w:pos="336"/>
          <w:tab w:val="left" w:pos="672"/>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jc w:val="both"/>
        <w:rPr>
          <w:sz w:val="24"/>
          <w:szCs w:val="24"/>
        </w:rPr>
      </w:pPr>
      <w:r w:rsidDel="00000000" w:rsidR="00000000" w:rsidRPr="00000000">
        <w:rPr>
          <w:rtl w:val="0"/>
        </w:rPr>
      </w:r>
    </w:p>
    <w:p w:rsidR="00000000" w:rsidDel="00000000" w:rsidP="00000000" w:rsidRDefault="00000000" w:rsidRPr="00000000" w14:paraId="00000060">
      <w:pPr>
        <w:tabs>
          <w:tab w:val="left" w:pos="-1104"/>
          <w:tab w:val="left" w:pos="-96"/>
          <w:tab w:val="left" w:pos="336"/>
          <w:tab w:val="left" w:pos="672"/>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ind w:left="336" w:hanging="336"/>
        <w:jc w:val="both"/>
        <w:rPr>
          <w:sz w:val="24"/>
          <w:szCs w:val="24"/>
        </w:rPr>
      </w:pPr>
      <w:r w:rsidDel="00000000" w:rsidR="00000000" w:rsidRPr="00000000">
        <w:rPr>
          <w:sz w:val="24"/>
          <w:szCs w:val="24"/>
          <w:rtl w:val="0"/>
        </w:rPr>
        <w:t xml:space="preserve">1. commemorates and hereby pays tribute to the victims of the December 1989 Revolution who sacrificed their lives for ending the totalitarian dictatorship in Romania, paying homage to the victims and their families;</w:t>
      </w:r>
    </w:p>
    <w:p w:rsidR="00000000" w:rsidDel="00000000" w:rsidP="00000000" w:rsidRDefault="00000000" w:rsidRPr="00000000" w14:paraId="00000061">
      <w:pPr>
        <w:tabs>
          <w:tab w:val="left" w:pos="-1104"/>
          <w:tab w:val="left" w:pos="-96"/>
          <w:tab w:val="left" w:pos="336"/>
          <w:tab w:val="left" w:pos="672"/>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ind w:left="336" w:hanging="336"/>
        <w:jc w:val="both"/>
        <w:rPr>
          <w:sz w:val="24"/>
          <w:szCs w:val="24"/>
        </w:rPr>
      </w:pPr>
      <w:r w:rsidDel="00000000" w:rsidR="00000000" w:rsidRPr="00000000">
        <w:rPr>
          <w:rtl w:val="0"/>
        </w:rPr>
      </w:r>
    </w:p>
    <w:p w:rsidR="00000000" w:rsidDel="00000000" w:rsidP="00000000" w:rsidRDefault="00000000" w:rsidRPr="00000000" w14:paraId="00000062">
      <w:pPr>
        <w:tabs>
          <w:tab w:val="left" w:pos="-1104"/>
          <w:tab w:val="left" w:pos="-96"/>
          <w:tab w:val="left" w:pos="336"/>
          <w:tab w:val="left" w:pos="672"/>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ind w:left="336" w:hanging="336"/>
        <w:jc w:val="both"/>
        <w:rPr>
          <w:sz w:val="24"/>
          <w:szCs w:val="24"/>
        </w:rPr>
      </w:pPr>
      <w:r w:rsidDel="00000000" w:rsidR="00000000" w:rsidRPr="00000000">
        <w:rPr>
          <w:sz w:val="24"/>
          <w:szCs w:val="24"/>
          <w:rtl w:val="0"/>
        </w:rPr>
        <w:t xml:space="preserve">2. acknowledges that the sacrifice of the peaceful protesters of December 1989 allowed for Romania's transition towards democracy, rule of law, market economy, as well as its subsequent integration into the North-Atlantic Alliance and into the European Union;</w:t>
      </w:r>
    </w:p>
    <w:p w:rsidR="00000000" w:rsidDel="00000000" w:rsidP="00000000" w:rsidRDefault="00000000" w:rsidRPr="00000000" w14:paraId="00000063">
      <w:pPr>
        <w:tabs>
          <w:tab w:val="left" w:pos="-1104"/>
          <w:tab w:val="left" w:pos="-96"/>
          <w:tab w:val="left" w:pos="336"/>
          <w:tab w:val="left" w:pos="672"/>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ind w:left="336" w:hanging="336"/>
        <w:jc w:val="both"/>
        <w:rPr>
          <w:sz w:val="24"/>
          <w:szCs w:val="24"/>
        </w:rPr>
      </w:pPr>
      <w:r w:rsidDel="00000000" w:rsidR="00000000" w:rsidRPr="00000000">
        <w:rPr>
          <w:rtl w:val="0"/>
        </w:rPr>
      </w:r>
    </w:p>
    <w:p w:rsidR="00000000" w:rsidDel="00000000" w:rsidP="00000000" w:rsidRDefault="00000000" w:rsidRPr="00000000" w14:paraId="00000064">
      <w:pPr>
        <w:tabs>
          <w:tab w:val="left" w:pos="-1104"/>
          <w:tab w:val="left" w:pos="-96"/>
          <w:tab w:val="left" w:pos="336"/>
          <w:tab w:val="left" w:pos="672"/>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ind w:left="336" w:hanging="336"/>
        <w:jc w:val="both"/>
        <w:rPr>
          <w:sz w:val="24"/>
          <w:szCs w:val="24"/>
        </w:rPr>
      </w:pPr>
      <w:r w:rsidDel="00000000" w:rsidR="00000000" w:rsidRPr="00000000">
        <w:rPr>
          <w:sz w:val="24"/>
          <w:szCs w:val="24"/>
          <w:rtl w:val="0"/>
        </w:rPr>
        <w:t xml:space="preserve">3. calls upon the Romanian State to strengthen its effort to elucidate the truth of the Revolution, an absolute necessity for Romanians, Romania, Europe and the European Union, in light of the right of the Romanian people to learn the truth, 30 years after the Revolution of December 1989;</w:t>
      </w:r>
    </w:p>
    <w:p w:rsidR="00000000" w:rsidDel="00000000" w:rsidP="00000000" w:rsidRDefault="00000000" w:rsidRPr="00000000" w14:paraId="00000065">
      <w:pPr>
        <w:tabs>
          <w:tab w:val="left" w:pos="-1104"/>
          <w:tab w:val="left" w:pos="-96"/>
          <w:tab w:val="left" w:pos="336"/>
          <w:tab w:val="left" w:pos="672"/>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ind w:left="336" w:hanging="336"/>
        <w:jc w:val="both"/>
        <w:rPr>
          <w:sz w:val="24"/>
          <w:szCs w:val="24"/>
        </w:rPr>
      </w:pPr>
      <w:r w:rsidDel="00000000" w:rsidR="00000000" w:rsidRPr="00000000">
        <w:rPr>
          <w:rtl w:val="0"/>
        </w:rPr>
      </w:r>
    </w:p>
    <w:p w:rsidR="00000000" w:rsidDel="00000000" w:rsidP="00000000" w:rsidRDefault="00000000" w:rsidRPr="00000000" w14:paraId="00000066">
      <w:pPr>
        <w:tabs>
          <w:tab w:val="left" w:pos="-1104"/>
          <w:tab w:val="left" w:pos="-96"/>
          <w:tab w:val="left" w:pos="336"/>
          <w:tab w:val="left" w:pos="672"/>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ind w:left="336" w:hanging="336"/>
        <w:jc w:val="both"/>
        <w:rPr>
          <w:sz w:val="24"/>
          <w:szCs w:val="24"/>
        </w:rPr>
      </w:pPr>
      <w:r w:rsidDel="00000000" w:rsidR="00000000" w:rsidRPr="00000000">
        <w:rPr>
          <w:sz w:val="24"/>
          <w:szCs w:val="24"/>
          <w:rtl w:val="0"/>
        </w:rPr>
        <w:t xml:space="preserve">4. calls upon the institutions of the European Union and its Member States, including Romania, to make all possible efforts to ensure the remembrance of the crimes of communist regimes, and to guarantee that such crimes will never be committed again;</w:t>
      </w:r>
    </w:p>
    <w:p w:rsidR="00000000" w:rsidDel="00000000" w:rsidP="00000000" w:rsidRDefault="00000000" w:rsidRPr="00000000" w14:paraId="00000067">
      <w:pPr>
        <w:tabs>
          <w:tab w:val="left" w:pos="-1104"/>
          <w:tab w:val="left" w:pos="-96"/>
          <w:tab w:val="left" w:pos="336"/>
          <w:tab w:val="left" w:pos="672"/>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ind w:left="336" w:hanging="336"/>
        <w:jc w:val="both"/>
        <w:rPr>
          <w:sz w:val="24"/>
          <w:szCs w:val="24"/>
        </w:rPr>
      </w:pPr>
      <w:r w:rsidDel="00000000" w:rsidR="00000000" w:rsidRPr="00000000">
        <w:rPr>
          <w:rtl w:val="0"/>
        </w:rPr>
      </w:r>
    </w:p>
    <w:p w:rsidR="00000000" w:rsidDel="00000000" w:rsidP="00000000" w:rsidRDefault="00000000" w:rsidRPr="00000000" w14:paraId="00000068">
      <w:pPr>
        <w:tabs>
          <w:tab w:val="left" w:pos="-1104"/>
          <w:tab w:val="left" w:pos="-96"/>
          <w:tab w:val="left" w:pos="336"/>
          <w:tab w:val="left" w:pos="672"/>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ind w:left="336" w:hanging="336"/>
        <w:jc w:val="both"/>
        <w:rPr>
          <w:sz w:val="24"/>
          <w:szCs w:val="24"/>
        </w:rPr>
      </w:pPr>
      <w:r w:rsidDel="00000000" w:rsidR="00000000" w:rsidRPr="00000000">
        <w:rPr>
          <w:sz w:val="24"/>
          <w:szCs w:val="24"/>
          <w:rtl w:val="0"/>
        </w:rPr>
        <w:t xml:space="preserve">5. instructs its President to forward this Resolution to the Council, the Commission, the governments and parliaments of all Member States.</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tabs>
          <w:tab w:val="left" w:pos="-1104"/>
          <w:tab w:val="left" w:pos="-96"/>
          <w:tab w:val="left" w:pos="336"/>
          <w:tab w:val="left" w:pos="672"/>
          <w:tab w:val="left" w:pos="1104"/>
          <w:tab w:val="left" w:pos="1680"/>
          <w:tab w:val="left" w:pos="2256"/>
          <w:tab w:val="left" w:pos="2832"/>
          <w:tab w:val="left" w:pos="3360"/>
          <w:tab w:val="left" w:pos="3936"/>
          <w:tab w:val="left" w:pos="4512"/>
          <w:tab w:val="left" w:pos="5088"/>
          <w:tab w:val="left" w:pos="5664"/>
          <w:tab w:val="left" w:pos="6192"/>
          <w:tab w:val="left" w:pos="6768"/>
          <w:tab w:val="left" w:pos="7344"/>
          <w:tab w:val="left" w:pos="7920"/>
          <w:tab w:val="left" w:pos="8496"/>
          <w:tab w:val="left" w:pos="9024"/>
          <w:tab w:val="left" w:pos="96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tabs>
          <w:tab w:val="center" w:pos="4536"/>
          <w:tab w:val="left" w:pos="7088"/>
          <w:tab w:val="right" w:pos="9356"/>
        </w:tabs>
        <w:rPr>
          <w:sz w:val="22"/>
          <w:szCs w:val="22"/>
        </w:rPr>
      </w:pPr>
      <w:r w:rsidDel="00000000" w:rsidR="00000000" w:rsidRPr="00000000">
        <w:rPr>
          <w:sz w:val="22"/>
          <w:szCs w:val="22"/>
          <w:rtl w:val="0"/>
        </w:rPr>
        <w:t xml:space="preserve">[Internal footer]</w:t>
        <w:tab/>
        <w:t xml:space="preserve">2/2</w:t>
        <w:tab/>
        <w:t xml:space="preserve">PE000.000v00-00</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5">
      <w:pPr>
        <w:tabs>
          <w:tab w:val="left" w:pos="7088"/>
          <w:tab w:val="right" w:pos="9356"/>
        </w:tabs>
        <w:rPr>
          <w:sz w:val="22"/>
          <w:szCs w:val="22"/>
        </w:rPr>
      </w:pPr>
      <w:r w:rsidDel="00000000" w:rsidR="00000000" w:rsidRPr="00000000">
        <w:rPr>
          <w:sz w:val="22"/>
          <w:szCs w:val="22"/>
          <w:rtl w:val="0"/>
        </w:rPr>
        <w:tab/>
        <w:t xml:space="preserve">PE000.000v00-00</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6">
      <w:pPr>
        <w:tabs>
          <w:tab w:val="center" w:pos="4536"/>
          <w:tab w:val="left" w:pos="7088"/>
          <w:tab w:val="right" w:pos="9356"/>
        </w:tabs>
        <w:rPr>
          <w:sz w:val="22"/>
          <w:szCs w:val="22"/>
        </w:rPr>
      </w:pPr>
      <w:r w:rsidDel="00000000" w:rsidR="00000000" w:rsidRPr="00000000">
        <w:rPr>
          <w:sz w:val="22"/>
          <w:szCs w:val="22"/>
          <w:rtl w:val="0"/>
        </w:rPr>
        <w:tab/>
        <w:tab/>
        <w:t xml:space="preserve">PE000.000v00-00</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7">
      <w:pPr>
        <w:tabs>
          <w:tab w:val="left" w:pos="7088"/>
          <w:tab w:val="right" w:pos="9356"/>
        </w:tabs>
        <w:rPr>
          <w:sz w:val="24"/>
          <w:szCs w:val="24"/>
        </w:rPr>
      </w:pPr>
      <w:r w:rsidDel="00000000" w:rsidR="00000000" w:rsidRPr="00000000">
        <w:rPr>
          <w:sz w:val="22"/>
          <w:szCs w:val="22"/>
          <w:rtl w:val="0"/>
        </w:rPr>
        <w:tab/>
        <w:t xml:space="preserve">PE000.000v00-00</w:t>
      </w:r>
      <w:r w:rsidDel="00000000" w:rsidR="00000000" w:rsidRPr="00000000">
        <w:rPr>
          <w:rtl w:val="0"/>
        </w:rPr>
        <w:t xml:space="preserve">} </w:t>
      </w:r>
      <w:r w:rsidDel="00000000" w:rsidR="00000000" w:rsidRPr="00000000">
        <w:rPr>
          <w:sz w:val="22"/>
          <w:szCs w:val="22"/>
          <w:rtl w:val="0"/>
        </w:rPr>
        <w:t xml:space="preserve">RC [1]</w:t>
      </w:r>
      <w:r w:rsidDel="00000000" w:rsidR="00000000" w:rsidRPr="00000000">
        <w:rPr>
          <w:rtl w:val="0"/>
        </w:rPr>
      </w:r>
    </w:p>
    <w:p w:rsidR="00000000" w:rsidDel="00000000" w:rsidP="00000000" w:rsidRDefault="00000000" w:rsidRPr="00000000" w14:paraId="00000078">
      <w:pPr>
        <w:tabs>
          <w:tab w:val="center" w:pos="4536"/>
          <w:tab w:val="right" w:pos="9356"/>
        </w:tabs>
        <w:rPr>
          <w:sz w:val="24"/>
          <w:szCs w:val="24"/>
        </w:rPr>
      </w:pPr>
      <w:r w:rsidDel="00000000" w:rsidR="00000000" w:rsidRPr="00000000">
        <w:rPr>
          <w:rtl w:val="0"/>
        </w:rPr>
      </w:r>
    </w:p>
    <w:p w:rsidR="00000000" w:rsidDel="00000000" w:rsidP="00000000" w:rsidRDefault="00000000" w:rsidRPr="00000000" w14:paraId="00000079">
      <w:pPr>
        <w:tabs>
          <w:tab w:val="center" w:pos="4536"/>
          <w:tab w:val="right" w:pos="9356"/>
        </w:tabs>
        <w:rPr>
          <w:sz w:val="24"/>
          <w:szCs w:val="24"/>
        </w:rPr>
      </w:pPr>
      <w:r w:rsidDel="00000000" w:rsidR="00000000" w:rsidRPr="00000000">
        <w:rPr>
          <w:rtl w:val="0"/>
        </w:rPr>
      </w:r>
    </w:p>
    <w:p w:rsidR="00000000" w:rsidDel="00000000" w:rsidP="00000000" w:rsidRDefault="00000000" w:rsidRPr="00000000" w14:paraId="0000007A">
      <w:pPr>
        <w:pStyle w:val="Heading3"/>
        <w:tabs>
          <w:tab w:val="center" w:pos="4536"/>
          <w:tab w:val="right" w:pos="9356"/>
        </w:tabs>
        <w:ind w:left="-426" w:firstLine="568"/>
        <w:rPr/>
      </w:pPr>
      <w:r w:rsidDel="00000000" w:rsidR="00000000" w:rsidRPr="00000000">
        <w:rPr>
          <w:rtl w:val="0"/>
        </w:rPr>
        <w:t xml:space="preserve">EN</w:t>
      </w:r>
    </w:p>
    <w:p w:rsidR="00000000" w:rsidDel="00000000" w:rsidP="00000000" w:rsidRDefault="00000000" w:rsidRPr="00000000" w14:paraId="0000007B">
      <w:pPr>
        <w:rPr/>
      </w:pPr>
      <w:r w:rsidDel="00000000" w:rsidR="00000000" w:rsidRPr="00000000">
        <w:rPr>
          <w:rtl w:val="0"/>
        </w:rPr>
      </w:r>
    </w:p>
    <w:tbl>
      <w:tblPr>
        <w:tblStyle w:val="Table6"/>
        <w:tblW w:w="967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73"/>
        <w:tblGridChange w:id="0">
          <w:tblGrid>
            <w:gridCol w:w="9673"/>
          </w:tblGrid>
        </w:tblGridChange>
      </w:tblGrid>
      <w:tr>
        <w:tc>
          <w:tcPr>
            <w:shd w:fill="d9d9d9" w:val="clear"/>
          </w:tcPr>
          <w:p w:rsidR="00000000" w:rsidDel="00000000" w:rsidP="00000000" w:rsidRDefault="00000000" w:rsidRPr="00000000" w14:paraId="0000007C">
            <w:pPr>
              <w:tabs>
                <w:tab w:val="left" w:pos="-1248"/>
                <w:tab w:val="left" w:pos="-192"/>
                <w:tab w:val="left" w:pos="480"/>
                <w:tab w:val="left" w:pos="731"/>
                <w:tab w:val="left" w:pos="1104"/>
                <w:tab w:val="left" w:pos="1536"/>
                <w:tab w:val="left" w:pos="2112"/>
                <w:tab w:val="left" w:pos="2688"/>
                <w:tab w:val="left" w:pos="3264"/>
                <w:tab w:val="left" w:pos="3840"/>
                <w:tab w:val="left" w:pos="4368"/>
                <w:tab w:val="left" w:pos="4944"/>
                <w:tab w:val="left" w:pos="5520"/>
                <w:tab w:val="left" w:pos="6096"/>
                <w:tab w:val="left" w:pos="6672"/>
                <w:tab w:val="left" w:pos="7200"/>
                <w:tab w:val="left" w:pos="7776"/>
                <w:tab w:val="left" w:pos="8352"/>
                <w:tab w:val="left" w:pos="8928"/>
                <w:tab w:val="left" w:pos="9504"/>
              </w:tabs>
              <w:jc w:val="both"/>
              <w:rPr/>
            </w:pPr>
            <w:r w:rsidDel="00000000" w:rsidR="00000000" w:rsidRPr="00000000">
              <w:rPr>
                <w:rtl w:val="0"/>
              </w:rPr>
              <w:t xml:space="preserve">(</w:t>
            </w:r>
            <w:r w:rsidDel="00000000" w:rsidR="00000000" w:rsidRPr="00000000">
              <w:rPr>
                <w:vertAlign w:val="superscript"/>
                <w:rtl w:val="0"/>
              </w:rPr>
              <w:t xml:space="preserve">1</w:t>
            </w:r>
            <w:r w:rsidDel="00000000" w:rsidR="00000000" w:rsidRPr="00000000">
              <w:rPr>
                <w:rtl w:val="0"/>
              </w:rPr>
              <w:t xml:space="preserve">)</w:t>
              <w:tab/>
              <w:t xml:space="preserve">See note 2 in the grey box after the cover page.</w:t>
            </w:r>
          </w:p>
        </w:tc>
      </w:tr>
    </w:tbl>
    <w:p w:rsidR="00000000" w:rsidDel="00000000" w:rsidP="00000000" w:rsidRDefault="00000000" w:rsidRPr="00000000" w14:paraId="0000007D">
      <w:pPr>
        <w:tabs>
          <w:tab w:val="center" w:pos="4536"/>
          <w:tab w:val="right" w:pos="9356"/>
        </w:tabs>
        <w:rPr/>
      </w:pPr>
      <w:r w:rsidDel="00000000" w:rsidR="00000000" w:rsidRPr="00000000">
        <w:rPr>
          <w:rtl w:val="0"/>
        </w:rPr>
      </w:r>
    </w:p>
    <w:sectPr>
      <w:footerReference r:id="rId7" w:type="default"/>
      <w:pgSz w:h="16838" w:w="11906"/>
      <w:pgMar w:bottom="851" w:top="851" w:left="1191" w:right="1191" w:header="851"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Narrow"/>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tabs>
        <w:tab w:val="center" w:pos="4800"/>
        <w:tab w:val="right" w:pos="9600"/>
      </w:tabs>
      <w:jc w:val="both"/>
      <w:rPr>
        <w:sz w:val="24"/>
        <w:szCs w:val="24"/>
      </w:rPr>
    </w:pPr>
    <w:r w:rsidDel="00000000" w:rsidR="00000000" w:rsidRPr="00000000">
      <w:rPr>
        <w:rtl w:val="0"/>
      </w:rPr>
    </w:r>
  </w:p>
  <w:p w:rsidR="00000000" w:rsidDel="00000000" w:rsidP="00000000" w:rsidRDefault="00000000" w:rsidRPr="00000000" w14:paraId="0000007F">
    <w:pPr>
      <w:tabs>
        <w:tab w:val="center" w:pos="4253"/>
        <w:tab w:val="right" w:pos="9600"/>
      </w:tabs>
      <w:jc w:val="both"/>
      <w:rPr/>
    </w:pPr>
    <w:r w:rsidDel="00000000" w:rsidR="00000000" w:rsidRPr="00000000">
      <w:rPr>
        <w:sz w:val="24"/>
        <w:szCs w:val="24"/>
        <w:rtl w:val="0"/>
      </w:rPr>
      <w:t xml:space="preserve">12.12.2019</w:t>
      <w:tab/>
    </w:r>
    <w:r w:rsidDel="00000000" w:rsidR="00000000" w:rsidRPr="00000000">
      <w:rPr>
        <w:sz w:val="24"/>
        <w:szCs w:val="24"/>
      </w:rPr>
      <w:fldChar w:fldCharType="begin"/>
      <w:instrText xml:space="preserve">PAGE</w:instrText>
      <w:fldChar w:fldCharType="separate"/>
      <w:fldChar w:fldCharType="end"/>
    </w:r>
    <w:r w:rsidDel="00000000" w:rsidR="00000000" w:rsidRPr="00000000">
      <w:rPr>
        <w:sz w:val="24"/>
        <w:szCs w:val="24"/>
        <w:rtl w:val="0"/>
      </w:rPr>
      <w:tab/>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1104"/>
        <w:tab w:val="left" w:pos="-96"/>
        <w:tab w:val="left" w:pos="1440"/>
        <w:tab w:val="left" w:pos="6804"/>
        <w:tab w:val="left" w:pos="8496"/>
        <w:tab w:val="left" w:pos="8736"/>
      </w:tabs>
      <w:jc w:val="both"/>
    </w:pPr>
    <w:rPr>
      <w:sz w:val="24"/>
      <w:szCs w:val="24"/>
    </w:rPr>
  </w:style>
  <w:style w:type="paragraph" w:styleId="Heading2">
    <w:name w:val="heading 2"/>
    <w:basedOn w:val="Normal"/>
    <w:next w:val="Normal"/>
    <w:pPr>
      <w:keepNext w:val="1"/>
      <w:tabs>
        <w:tab w:val="left" w:pos="-1104"/>
        <w:tab w:val="left" w:pos="-96"/>
        <w:tab w:val="left" w:pos="1440"/>
        <w:tab w:val="left" w:pos="7392"/>
        <w:tab w:val="left" w:pos="8496"/>
        <w:tab w:val="left" w:pos="8736"/>
      </w:tabs>
      <w:jc w:val="both"/>
    </w:pPr>
    <w:rPr>
      <w:rFonts w:ascii="Arial" w:cs="Arial" w:eastAsia="Arial" w:hAnsi="Arial"/>
      <w:b w:val="1"/>
      <w:sz w:val="44"/>
      <w:szCs w:val="44"/>
    </w:rPr>
  </w:style>
  <w:style w:type="paragraph" w:styleId="Heading3">
    <w:name w:val="heading 3"/>
    <w:basedOn w:val="Normal"/>
    <w:next w:val="Normal"/>
    <w:pPr>
      <w:keepNext w:val="1"/>
      <w:tabs>
        <w:tab w:val="center" w:pos="4536"/>
        <w:tab w:val="right" w:pos="9356"/>
      </w:tabs>
    </w:pPr>
    <w:rPr>
      <w:rFonts w:ascii="Arial" w:cs="Arial" w:eastAsia="Arial" w:hAnsi="Arial"/>
      <w:b w:val="1"/>
      <w:sz w:val="48"/>
      <w:szCs w:val="4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1104"/>
        <w:tab w:val="left" w:pos="-96"/>
        <w:tab w:val="left" w:pos="1440"/>
        <w:tab w:val="left" w:pos="6804"/>
        <w:tab w:val="left" w:pos="8496"/>
        <w:tab w:val="left" w:pos="8736"/>
      </w:tabs>
      <w:jc w:val="both"/>
    </w:pPr>
    <w:rPr>
      <w:sz w:val="24"/>
      <w:szCs w:val="24"/>
    </w:rPr>
  </w:style>
  <w:style w:type="paragraph" w:styleId="Heading2">
    <w:name w:val="heading 2"/>
    <w:basedOn w:val="Normal"/>
    <w:next w:val="Normal"/>
    <w:pPr>
      <w:keepNext w:val="1"/>
      <w:tabs>
        <w:tab w:val="left" w:pos="-1104"/>
        <w:tab w:val="left" w:pos="-96"/>
        <w:tab w:val="left" w:pos="1440"/>
        <w:tab w:val="left" w:pos="7392"/>
        <w:tab w:val="left" w:pos="8496"/>
        <w:tab w:val="left" w:pos="8736"/>
      </w:tabs>
      <w:jc w:val="both"/>
    </w:pPr>
    <w:rPr>
      <w:rFonts w:ascii="Arial" w:cs="Arial" w:eastAsia="Arial" w:hAnsi="Arial"/>
      <w:b w:val="1"/>
      <w:sz w:val="44"/>
      <w:szCs w:val="44"/>
    </w:rPr>
  </w:style>
  <w:style w:type="paragraph" w:styleId="Heading3">
    <w:name w:val="heading 3"/>
    <w:basedOn w:val="Normal"/>
    <w:next w:val="Normal"/>
    <w:pPr>
      <w:keepNext w:val="1"/>
      <w:tabs>
        <w:tab w:val="center" w:pos="4536"/>
        <w:tab w:val="right" w:pos="9356"/>
      </w:tabs>
    </w:pPr>
    <w:rPr>
      <w:rFonts w:ascii="Arial" w:cs="Arial" w:eastAsia="Arial" w:hAnsi="Arial"/>
      <w:b w:val="1"/>
      <w:sz w:val="48"/>
      <w:szCs w:val="4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widowControl w:val="0"/>
    </w:pPr>
    <w:rPr>
      <w:snapToGrid w:val="0"/>
      <w:lang w:eastAsia="en-US"/>
    </w:rPr>
  </w:style>
  <w:style w:type="paragraph" w:styleId="Heading1">
    <w:name w:val="heading 1"/>
    <w:basedOn w:val="Normal"/>
    <w:next w:val="Normal"/>
    <w:qFormat w:val="1"/>
    <w:pPr>
      <w:keepNext w:val="1"/>
      <w:tabs>
        <w:tab w:val="left" w:pos="-1104"/>
        <w:tab w:val="left" w:pos="-96"/>
        <w:tab w:val="left" w:pos="1440"/>
        <w:tab w:val="left" w:pos="6804"/>
        <w:tab w:val="left" w:pos="8496"/>
        <w:tab w:val="left" w:pos="8736"/>
      </w:tabs>
      <w:suppressAutoHyphens w:val="1"/>
      <w:jc w:val="both"/>
      <w:outlineLvl w:val="0"/>
    </w:pPr>
    <w:rPr>
      <w:spacing w:val="-2"/>
      <w:sz w:val="24"/>
      <w:lang w:val="fr-FR"/>
    </w:rPr>
  </w:style>
  <w:style w:type="paragraph" w:styleId="Heading2">
    <w:name w:val="heading 2"/>
    <w:basedOn w:val="Normal"/>
    <w:next w:val="Normal"/>
    <w:qFormat w:val="1"/>
    <w:pPr>
      <w:keepNext w:val="1"/>
      <w:tabs>
        <w:tab w:val="left" w:pos="-1104"/>
        <w:tab w:val="left" w:pos="-96"/>
        <w:tab w:val="left" w:pos="1440"/>
        <w:tab w:val="left" w:pos="7392"/>
        <w:tab w:val="left" w:pos="8496"/>
        <w:tab w:val="left" w:pos="8736"/>
      </w:tabs>
      <w:suppressAutoHyphens w:val="1"/>
      <w:jc w:val="both"/>
      <w:outlineLvl w:val="1"/>
    </w:pPr>
    <w:rPr>
      <w:rFonts w:ascii="Arial" w:hAnsi="Arial"/>
      <w:b w:val="1"/>
      <w:spacing w:val="-5"/>
      <w:sz w:val="44"/>
      <w:lang w:val="fr-FR"/>
    </w:rPr>
  </w:style>
  <w:style w:type="paragraph" w:styleId="Heading3">
    <w:name w:val="heading 3"/>
    <w:basedOn w:val="Normal"/>
    <w:next w:val="Normal"/>
    <w:qFormat w:val="1"/>
    <w:pPr>
      <w:keepNext w:val="1"/>
      <w:tabs>
        <w:tab w:val="center" w:pos="4536"/>
        <w:tab w:val="right" w:pos="9356"/>
      </w:tabs>
      <w:outlineLvl w:val="2"/>
    </w:pPr>
    <w:rPr>
      <w:rFonts w:ascii="Arial" w:hAnsi="Arial"/>
      <w:b w:val="1"/>
      <w:sz w:val="48"/>
    </w:rPr>
  </w:style>
  <w:style w:type="paragraph" w:styleId="Heading6">
    <w:name w:val="heading 6"/>
    <w:basedOn w:val="Normal"/>
    <w:next w:val="Normal"/>
    <w:qFormat w:val="1"/>
    <w:pPr>
      <w:spacing w:after="60" w:before="240"/>
      <w:outlineLvl w:val="5"/>
    </w:pPr>
    <w:rPr>
      <w:i w:val="1"/>
      <w:sz w:val="22"/>
    </w:rPr>
  </w:style>
  <w:style w:type="paragraph" w:styleId="Heading8">
    <w:name w:val="heading 8"/>
    <w:basedOn w:val="Normal"/>
    <w:next w:val="Normal"/>
    <w:qFormat w:val="1"/>
    <w:pPr>
      <w:keepNext w:val="1"/>
      <w:widowControl w:val="1"/>
      <w:tabs>
        <w:tab w:val="right" w:pos="9299"/>
      </w:tabs>
      <w:jc w:val="center"/>
      <w:outlineLvl w:val="7"/>
    </w:pPr>
    <w:rPr>
      <w:b w:val="1"/>
      <w:i w:val="1"/>
      <w:sz w:val="24"/>
      <w:lang w:val="fr-FR"/>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EndnoteText">
    <w:name w:val="endnote text"/>
    <w:basedOn w:val="Normal"/>
    <w:semiHidden w:val="1"/>
    <w:rPr>
      <w:sz w:val="24"/>
    </w:rPr>
  </w:style>
  <w:style w:type="character" w:styleId="EndnoteReference">
    <w:name w:val="endnote reference"/>
    <w:basedOn w:val="DefaultParagraphFont"/>
    <w:semiHidden w:val="1"/>
    <w:rPr>
      <w:vertAlign w:val="superscript"/>
    </w:rPr>
  </w:style>
  <w:style w:type="paragraph" w:styleId="FootnoteText">
    <w:name w:val="footnote text"/>
    <w:basedOn w:val="Normal"/>
    <w:semiHidden w:val="1"/>
    <w:rPr>
      <w:sz w:val="24"/>
    </w:rPr>
  </w:style>
  <w:style w:type="character" w:styleId="FootnoteReference">
    <w:name w:val="footnote reference"/>
    <w:basedOn w:val="DefaultParagraphFont"/>
    <w:semiHidden w:val="1"/>
    <w:rPr>
      <w:vertAlign w:val="superscript"/>
    </w:rPr>
  </w:style>
  <w:style w:type="character" w:styleId="3FinHeurVo" w:customStyle="1">
    <w:name w:val="3. FinHeurVo"/>
    <w:basedOn w:val="DefaultParagraphFont"/>
    <w:rPr>
      <w:rFonts w:ascii="Times New Roman" w:hAnsi="Times New Roman"/>
      <w:noProof w:val="0"/>
      <w:sz w:val="20"/>
      <w:lang w:val="en-US"/>
    </w:rPr>
  </w:style>
  <w:style w:type="character" w:styleId="4DebUrgenc" w:customStyle="1">
    <w:name w:val="4. DebUrgenc"/>
    <w:basedOn w:val="DefaultParagraphFont"/>
    <w:rPr>
      <w:rFonts w:ascii="Times New Roman" w:hAnsi="Times New Roman"/>
      <w:noProof w:val="0"/>
      <w:sz w:val="20"/>
      <w:lang w:val="en-US"/>
    </w:rPr>
  </w:style>
  <w:style w:type="character" w:styleId="5FinDebUrg" w:customStyle="1">
    <w:name w:val="5. FinDebUrg"/>
    <w:basedOn w:val="DefaultParagraphFont"/>
    <w:rPr>
      <w:rFonts w:ascii="Times New Roman" w:hAnsi="Times New Roman"/>
      <w:noProof w:val="0"/>
      <w:sz w:val="20"/>
      <w:lang w:val="en-US"/>
    </w:rPr>
  </w:style>
  <w:style w:type="character" w:styleId="1ParaNum" w:customStyle="1">
    <w:name w:val="1. ParaNum"/>
    <w:basedOn w:val="DefaultParagraphFont"/>
    <w:rPr>
      <w:rFonts w:ascii="Times New Roman" w:hAnsi="Times New Roman"/>
      <w:noProof w:val="0"/>
      <w:sz w:val="20"/>
      <w:lang w:val="en-US"/>
    </w:rPr>
  </w:style>
  <w:style w:type="character" w:styleId="2HeurVote" w:customStyle="1">
    <w:name w:val="2. HeurVote"/>
    <w:basedOn w:val="DefaultParagraphFont"/>
    <w:rPr>
      <w:rFonts w:ascii="Times New Roman" w:hAnsi="Times New Roman"/>
      <w:noProof w:val="0"/>
      <w:sz w:val="20"/>
      <w:lang w:val="en-US"/>
    </w:rPr>
  </w:style>
  <w:style w:type="paragraph" w:styleId="Titel" w:customStyle="1">
    <w:name w:val="Titel"/>
    <w:pPr>
      <w:widowControl w:val="0"/>
      <w:tabs>
        <w:tab w:val="left" w:pos="432"/>
        <w:tab w:val="left" w:pos="576"/>
      </w:tabs>
      <w:suppressAutoHyphens w:val="1"/>
    </w:pPr>
    <w:rPr>
      <w:b w:val="1"/>
      <w:snapToGrid w:val="0"/>
      <w:sz w:val="24"/>
      <w:lang w:eastAsia="en-US" w:val="en-US"/>
    </w:rPr>
  </w:style>
  <w:style w:type="paragraph" w:styleId="Zwischentite" w:customStyle="1">
    <w:name w:val="Zwischentite"/>
    <w:pPr>
      <w:keepNext w:val="1"/>
      <w:keepLines w:val="1"/>
      <w:widowControl w:val="0"/>
      <w:tabs>
        <w:tab w:val="left" w:pos="-720"/>
      </w:tabs>
      <w:suppressAutoHyphens w:val="1"/>
    </w:pPr>
    <w:rPr>
      <w:snapToGrid w:val="0"/>
      <w:lang w:eastAsia="en-US" w:val="en-US"/>
    </w:rPr>
  </w:style>
  <w:style w:type="character" w:styleId="FormatAM" w:customStyle="1">
    <w:name w:val="FormatAM"/>
    <w:basedOn w:val="DefaultParagraphFont"/>
    <w:rPr>
      <w:rFonts w:ascii="Times New Roman" w:hAnsi="Times New Roman"/>
      <w:noProof w:val="0"/>
      <w:sz w:val="24"/>
      <w:lang w:val="en-US"/>
    </w:rPr>
  </w:style>
  <w:style w:type="character" w:styleId="FormatOJ" w:customStyle="1">
    <w:name w:val="FormatOJ"/>
    <w:basedOn w:val="DefaultParagraphFont"/>
    <w:rPr>
      <w:rFonts w:ascii="Times New Roman" w:hAnsi="Times New Roman"/>
      <w:noProof w:val="0"/>
      <w:sz w:val="20"/>
      <w:lang w:val="en-US"/>
    </w:rPr>
  </w:style>
  <w:style w:type="character" w:styleId="NUMDEFCO" w:customStyle="1">
    <w:name w:val="NUMDEFCO"/>
    <w:basedOn w:val="DefaultParagraphFont"/>
    <w:rPr>
      <w:rFonts w:ascii="Times New Roman" w:hAnsi="Times New Roman"/>
      <w:noProof w:val="0"/>
      <w:sz w:val="20"/>
      <w:lang w:val="en-US"/>
    </w:rPr>
  </w:style>
  <w:style w:type="character" w:styleId="NUMDEFPA" w:customStyle="1">
    <w:name w:val="NUMDEFPA"/>
    <w:basedOn w:val="DefaultParagraphFont"/>
    <w:rPr>
      <w:rFonts w:ascii="Times New Roman" w:hAnsi="Times New Roman"/>
      <w:noProof w:val="0"/>
      <w:sz w:val="20"/>
      <w:lang w:val="en-US"/>
    </w:rPr>
  </w:style>
  <w:style w:type="character" w:styleId="EP-Kopf" w:customStyle="1">
    <w:name w:val="EP-Kopf"/>
    <w:basedOn w:val="DefaultParagraphFont"/>
    <w:rPr>
      <w:rFonts w:ascii="Times New Roman" w:hAnsi="Times New Roman"/>
      <w:sz w:val="24"/>
    </w:rPr>
  </w:style>
  <w:style w:type="paragraph" w:styleId="TOC1">
    <w:name w:val="toc 1"/>
    <w:basedOn w:val="Normal"/>
    <w:next w:val="Normal"/>
    <w:autoRedefine w:val="1"/>
    <w:semiHidden w:val="1"/>
    <w:pPr>
      <w:tabs>
        <w:tab w:val="right" w:leader="dot" w:pos="9360"/>
      </w:tabs>
      <w:suppressAutoHyphens w:val="1"/>
      <w:spacing w:before="480"/>
      <w:ind w:left="720" w:right="720" w:hanging="720"/>
    </w:pPr>
    <w:rPr>
      <w:lang w:val="en-US"/>
    </w:rPr>
  </w:style>
  <w:style w:type="paragraph" w:styleId="TOC2">
    <w:name w:val="toc 2"/>
    <w:basedOn w:val="Normal"/>
    <w:next w:val="Normal"/>
    <w:autoRedefine w:val="1"/>
    <w:semiHidden w:val="1"/>
    <w:pPr>
      <w:tabs>
        <w:tab w:val="right" w:leader="dot" w:pos="9360"/>
      </w:tabs>
      <w:suppressAutoHyphens w:val="1"/>
      <w:ind w:left="1440" w:right="720" w:hanging="720"/>
    </w:pPr>
    <w:rPr>
      <w:lang w:val="en-US"/>
    </w:rPr>
  </w:style>
  <w:style w:type="paragraph" w:styleId="TOC3">
    <w:name w:val="toc 3"/>
    <w:basedOn w:val="Normal"/>
    <w:next w:val="Normal"/>
    <w:autoRedefine w:val="1"/>
    <w:semiHidden w:val="1"/>
    <w:pPr>
      <w:tabs>
        <w:tab w:val="right" w:leader="dot" w:pos="9360"/>
      </w:tabs>
      <w:suppressAutoHyphens w:val="1"/>
      <w:ind w:left="2160" w:right="720" w:hanging="720"/>
    </w:pPr>
    <w:rPr>
      <w:lang w:val="en-US"/>
    </w:rPr>
  </w:style>
  <w:style w:type="paragraph" w:styleId="TOC4">
    <w:name w:val="toc 4"/>
    <w:basedOn w:val="Normal"/>
    <w:next w:val="Normal"/>
    <w:autoRedefine w:val="1"/>
    <w:semiHidden w:val="1"/>
    <w:pPr>
      <w:tabs>
        <w:tab w:val="right" w:leader="dot" w:pos="9360"/>
      </w:tabs>
      <w:suppressAutoHyphens w:val="1"/>
      <w:ind w:left="2880" w:right="720" w:hanging="720"/>
    </w:pPr>
    <w:rPr>
      <w:lang w:val="en-US"/>
    </w:rPr>
  </w:style>
  <w:style w:type="paragraph" w:styleId="TOC5">
    <w:name w:val="toc 5"/>
    <w:basedOn w:val="Normal"/>
    <w:next w:val="Normal"/>
    <w:autoRedefine w:val="1"/>
    <w:semiHidden w:val="1"/>
    <w:pPr>
      <w:tabs>
        <w:tab w:val="right" w:leader="dot" w:pos="9360"/>
      </w:tabs>
      <w:suppressAutoHyphens w:val="1"/>
      <w:ind w:left="3600" w:right="720" w:hanging="720"/>
    </w:pPr>
    <w:rPr>
      <w:lang w:val="en-US"/>
    </w:rPr>
  </w:style>
  <w:style w:type="paragraph" w:styleId="TOC6">
    <w:name w:val="toc 6"/>
    <w:basedOn w:val="Normal"/>
    <w:next w:val="Normal"/>
    <w:autoRedefine w:val="1"/>
    <w:semiHidden w:val="1"/>
    <w:pPr>
      <w:tabs>
        <w:tab w:val="right" w:pos="9360"/>
      </w:tabs>
      <w:suppressAutoHyphens w:val="1"/>
      <w:ind w:left="720" w:hanging="720"/>
    </w:pPr>
    <w:rPr>
      <w:lang w:val="en-US"/>
    </w:rPr>
  </w:style>
  <w:style w:type="paragraph" w:styleId="TOC7">
    <w:name w:val="toc 7"/>
    <w:basedOn w:val="Normal"/>
    <w:next w:val="Normal"/>
    <w:autoRedefine w:val="1"/>
    <w:semiHidden w:val="1"/>
    <w:pPr>
      <w:suppressAutoHyphens w:val="1"/>
      <w:ind w:left="720" w:hanging="720"/>
    </w:pPr>
    <w:rPr>
      <w:lang w:val="en-US"/>
    </w:rPr>
  </w:style>
  <w:style w:type="paragraph" w:styleId="TOC8">
    <w:name w:val="toc 8"/>
    <w:basedOn w:val="Normal"/>
    <w:next w:val="Normal"/>
    <w:autoRedefine w:val="1"/>
    <w:semiHidden w:val="1"/>
    <w:pPr>
      <w:tabs>
        <w:tab w:val="right" w:pos="9360"/>
      </w:tabs>
      <w:suppressAutoHyphens w:val="1"/>
      <w:ind w:left="720" w:hanging="720"/>
    </w:pPr>
    <w:rPr>
      <w:lang w:val="en-US"/>
    </w:rPr>
  </w:style>
  <w:style w:type="paragraph" w:styleId="TOC9">
    <w:name w:val="toc 9"/>
    <w:basedOn w:val="Normal"/>
    <w:next w:val="Normal"/>
    <w:autoRedefine w:val="1"/>
    <w:semiHidden w:val="1"/>
    <w:pPr>
      <w:tabs>
        <w:tab w:val="right" w:leader="dot" w:pos="9360"/>
      </w:tabs>
      <w:suppressAutoHyphens w:val="1"/>
      <w:ind w:left="720" w:hanging="720"/>
    </w:pPr>
    <w:rPr>
      <w:lang w:val="en-US"/>
    </w:rPr>
  </w:style>
  <w:style w:type="paragraph" w:styleId="Index1">
    <w:name w:val="index 1"/>
    <w:basedOn w:val="Normal"/>
    <w:next w:val="Normal"/>
    <w:autoRedefine w:val="1"/>
    <w:semiHidden w:val="1"/>
    <w:rsid w:val="00A16C5F"/>
    <w:pPr>
      <w:tabs>
        <w:tab w:val="center" w:pos="4535"/>
        <w:tab w:val="right" w:pos="9781"/>
      </w:tabs>
      <w:suppressAutoHyphens w:val="1"/>
      <w:ind w:left="-142" w:right="401"/>
      <w:jc w:val="right"/>
    </w:pPr>
    <w:rPr>
      <w:rFonts w:ascii="Arial" w:hAnsi="Arial"/>
      <w:b w:val="1"/>
      <w:sz w:val="48"/>
      <w:lang w:val="en-US"/>
    </w:rPr>
  </w:style>
  <w:style w:type="paragraph" w:styleId="Index2">
    <w:name w:val="index 2"/>
    <w:basedOn w:val="Normal"/>
    <w:next w:val="Normal"/>
    <w:autoRedefine w:val="1"/>
    <w:semiHidden w:val="1"/>
    <w:pPr>
      <w:tabs>
        <w:tab w:val="right" w:leader="dot" w:pos="9360"/>
      </w:tabs>
      <w:suppressAutoHyphens w:val="1"/>
      <w:ind w:left="1440" w:right="720" w:hanging="720"/>
    </w:pPr>
    <w:rPr>
      <w:lang w:val="en-US"/>
    </w:rPr>
  </w:style>
  <w:style w:type="paragraph" w:styleId="TOAHeading">
    <w:name w:val="toa heading"/>
    <w:basedOn w:val="Normal"/>
    <w:next w:val="Normal"/>
    <w:semiHidden w:val="1"/>
    <w:pPr>
      <w:tabs>
        <w:tab w:val="right" w:pos="9360"/>
      </w:tabs>
      <w:suppressAutoHyphens w:val="1"/>
    </w:pPr>
    <w:rPr>
      <w:lang w:val="en-US"/>
    </w:rPr>
  </w:style>
  <w:style w:type="paragraph" w:styleId="Caption">
    <w:name w:val="caption"/>
    <w:basedOn w:val="Normal"/>
    <w:next w:val="Normal"/>
    <w:qFormat w:val="1"/>
    <w:rPr>
      <w:sz w:val="24"/>
    </w:rPr>
  </w:style>
  <w:style w:type="character" w:styleId="EquationCaption" w:customStyle="1">
    <w:name w:val="_Equation Captio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IndexHeading">
    <w:name w:val="index heading"/>
    <w:basedOn w:val="Normal"/>
    <w:next w:val="Index1"/>
    <w:semiHidden w:val="1"/>
    <w:pPr>
      <w:widowControl w:val="1"/>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jc w:val="both"/>
    </w:pPr>
    <w:rPr>
      <w:sz w:val="24"/>
      <w:lang w:val="fr-FR"/>
    </w:rPr>
  </w:style>
  <w:style w:type="paragraph" w:styleId="Titre1" w:customStyle="1">
    <w:name w:val="Titre1"/>
    <w:basedOn w:val="Heading6"/>
    <w:pPr>
      <w:keepNext w:val="1"/>
      <w:widowControl w:val="1"/>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after="0" w:before="0"/>
      <w:jc w:val="center"/>
    </w:pPr>
    <w:rPr>
      <w:rFonts w:ascii="Arial" w:hAnsi="Arial"/>
      <w:i w:val="0"/>
      <w:sz w:val="56"/>
      <w:lang w:val="fr-FR"/>
    </w:rPr>
  </w:style>
  <w:style w:type="character" w:styleId="HideTWBExt" w:customStyle="1">
    <w:name w:val="HideTWBExt"/>
    <w:basedOn w:val="DefaultParagraphFont"/>
    <w:rPr>
      <w:noProof w:val="1"/>
      <w:vanish w:val="1"/>
      <w:color w:val="808080"/>
    </w:rPr>
  </w:style>
  <w:style w:type="character" w:styleId="HideTWBInt" w:customStyle="1">
    <w:name w:val="HideTWBInt"/>
    <w:basedOn w:val="DefaultParagraphFont"/>
    <w:rPr>
      <w:vanish w:val="1"/>
      <w:color w:val="808080"/>
    </w:rPr>
  </w:style>
  <w:style w:type="paragraph" w:styleId="BlockText">
    <w:name w:val="Block Text"/>
    <w:basedOn w:val="Normal"/>
    <w:pPr>
      <w:tabs>
        <w:tab w:val="left" w:pos="-1104"/>
        <w:tab w:val="left" w:pos="528"/>
        <w:tab w:val="left" w:pos="1134"/>
        <w:tab w:val="left" w:pos="1440"/>
        <w:tab w:val="left" w:pos="7392"/>
        <w:tab w:val="left" w:pos="8496"/>
        <w:tab w:val="left" w:pos="8736"/>
      </w:tabs>
      <w:suppressAutoHyphens w:val="1"/>
      <w:ind w:left="1134" w:right="1133"/>
      <w:jc w:val="both"/>
    </w:pPr>
    <w:rPr>
      <w:spacing w:val="-2"/>
      <w:sz w:val="24"/>
      <w:lang w:val="fr-FR"/>
    </w:rPr>
  </w:style>
  <w:style w:type="character" w:styleId="tw4winMark" w:customStyle="1">
    <w:name w:val="tw4winMark"/>
    <w:rPr>
      <w:rFonts w:ascii="Courier New" w:hAnsi="Courier New"/>
      <w:vanish w:val="1"/>
      <w:color w:val="800080"/>
      <w:sz w:val="24"/>
      <w:vertAlign w:val="subscript"/>
    </w:rPr>
  </w:style>
  <w:style w:type="character" w:styleId="tw4winError" w:customStyle="1">
    <w:name w:val="tw4winError"/>
    <w:rPr>
      <w:rFonts w:ascii="Courier New" w:hAnsi="Courier New"/>
      <w:color w:val="00ff00"/>
      <w:sz w:val="40"/>
    </w:rPr>
  </w:style>
  <w:style w:type="character" w:styleId="tw4winTerm" w:customStyle="1">
    <w:name w:val="tw4winTerm"/>
    <w:rPr>
      <w:color w:val="0000ff"/>
    </w:rPr>
  </w:style>
  <w:style w:type="character" w:styleId="tw4winPopup" w:customStyle="1">
    <w:name w:val="tw4winPopup"/>
    <w:rPr>
      <w:rFonts w:ascii="Courier New" w:hAnsi="Courier New"/>
      <w:noProof w:val="1"/>
      <w:color w:val="008000"/>
    </w:rPr>
  </w:style>
  <w:style w:type="character" w:styleId="tw4winJump" w:customStyle="1">
    <w:name w:val="tw4winJump"/>
    <w:rPr>
      <w:rFonts w:ascii="Courier New" w:hAnsi="Courier New"/>
      <w:noProof w:val="1"/>
      <w:color w:val="008080"/>
    </w:rPr>
  </w:style>
  <w:style w:type="character" w:styleId="tw4winExternal" w:customStyle="1">
    <w:name w:val="tw4winExternal"/>
    <w:rPr>
      <w:rFonts w:ascii="Courier New" w:hAnsi="Courier New"/>
      <w:noProof w:val="1"/>
      <w:color w:val="808080"/>
    </w:rPr>
  </w:style>
  <w:style w:type="character" w:styleId="tw4winInternal" w:customStyle="1">
    <w:name w:val="tw4winInternal"/>
    <w:rPr>
      <w:rFonts w:ascii="Courier New" w:hAnsi="Courier New"/>
      <w:noProof w:val="1"/>
      <w:color w:val="ff0000"/>
    </w:rPr>
  </w:style>
  <w:style w:type="character" w:styleId="DONOTTRANSLATE" w:customStyle="1">
    <w:name w:val="DO_NOT_TRANSLATE"/>
    <w:rPr>
      <w:rFonts w:ascii="Courier New" w:hAnsi="Courier New"/>
      <w:color w:val="800000"/>
    </w:rPr>
  </w:style>
  <w:style w:type="table" w:styleId="TableGrid">
    <w:name w:val="Table Grid"/>
    <w:basedOn w:val="TableNormal"/>
    <w:rsid w:val="00CB5AF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ZCommittee" w:customStyle="1">
    <w:name w:val="ZCommittee"/>
    <w:basedOn w:val="Normal"/>
    <w:next w:val="Normal"/>
    <w:rsid w:val="00CB5AFD"/>
    <w:pPr>
      <w:jc w:val="center"/>
    </w:pPr>
    <w:rPr>
      <w:rFonts w:ascii="Arial" w:cs="Arial" w:hAnsi="Arial"/>
      <w:i w:val="1"/>
      <w:snapToGrid w:val="1"/>
      <w:sz w:val="22"/>
      <w:szCs w:val="22"/>
      <w:lang w:eastAsia="en-GB" w:val="fr-FR"/>
    </w:rPr>
  </w:style>
  <w:style w:type="paragraph" w:styleId="LineTop" w:customStyle="1">
    <w:name w:val="LineTop"/>
    <w:basedOn w:val="Normal"/>
    <w:next w:val="ZCommittee"/>
    <w:rsid w:val="00CB5AFD"/>
    <w:pPr>
      <w:pBdr>
        <w:top w:color="auto" w:space="1" w:sz="4" w:val="single"/>
      </w:pBdr>
      <w:jc w:val="center"/>
    </w:pPr>
    <w:rPr>
      <w:rFonts w:ascii="Arial" w:hAnsi="Arial"/>
      <w:snapToGrid w:val="1"/>
      <w:sz w:val="16"/>
      <w:szCs w:val="16"/>
      <w:lang w:eastAsia="en-GB" w:val="fr-FR"/>
    </w:rPr>
  </w:style>
  <w:style w:type="paragraph" w:styleId="LineBottom" w:customStyle="1">
    <w:name w:val="LineBottom"/>
    <w:basedOn w:val="Normal"/>
    <w:next w:val="Normal"/>
    <w:rsid w:val="00CB5AFD"/>
    <w:pPr>
      <w:pBdr>
        <w:bottom w:color="auto" w:space="1" w:sz="4" w:val="single"/>
      </w:pBdr>
      <w:spacing w:after="840"/>
      <w:jc w:val="center"/>
    </w:pPr>
    <w:rPr>
      <w:rFonts w:ascii="Arial" w:hAnsi="Arial"/>
      <w:snapToGrid w:val="1"/>
      <w:sz w:val="16"/>
      <w:szCs w:val="16"/>
      <w:lang w:eastAsia="en-GB"/>
    </w:rPr>
  </w:style>
  <w:style w:type="paragraph" w:styleId="PELeft" w:customStyle="1">
    <w:name w:val="PELeft"/>
    <w:basedOn w:val="Normal"/>
    <w:rsid w:val="00CB5AFD"/>
    <w:pPr>
      <w:spacing w:after="40" w:before="40"/>
    </w:pPr>
    <w:rPr>
      <w:rFonts w:ascii="Arial" w:cs="Arial" w:hAnsi="Arial"/>
      <w:snapToGrid w:val="1"/>
      <w:sz w:val="22"/>
      <w:szCs w:val="22"/>
      <w:lang w:eastAsia="en-GB" w:val="fr-FR"/>
    </w:rPr>
  </w:style>
  <w:style w:type="paragraph" w:styleId="PERight" w:customStyle="1">
    <w:name w:val="PERight"/>
    <w:basedOn w:val="Normal"/>
    <w:next w:val="Normal"/>
    <w:rsid w:val="00CB5AFD"/>
    <w:pPr>
      <w:jc w:val="right"/>
    </w:pPr>
    <w:rPr>
      <w:rFonts w:ascii="Arial" w:cs="Arial" w:hAnsi="Arial"/>
      <w:snapToGrid w:val="1"/>
      <w:sz w:val="22"/>
      <w:szCs w:val="22"/>
      <w:lang w:eastAsia="en-GB" w:val="fr-FR"/>
    </w:rPr>
  </w:style>
  <w:style w:type="paragraph" w:styleId="BalloonText">
    <w:name w:val="Balloon Text"/>
    <w:basedOn w:val="Normal"/>
    <w:semiHidden w:val="1"/>
    <w:rsid w:val="003B7E28"/>
    <w:rPr>
      <w:rFonts w:ascii="Tahoma" w:cs="Tahoma" w:hAnsi="Tahoma"/>
      <w:sz w:val="16"/>
      <w:szCs w:val="16"/>
    </w:rPr>
  </w:style>
  <w:style w:type="character" w:styleId="CommentReference">
    <w:name w:val="annotation reference"/>
    <w:basedOn w:val="DefaultParagraphFont"/>
    <w:semiHidden w:val="1"/>
    <w:unhideWhenUsed w:val="1"/>
    <w:rsid w:val="00B6639F"/>
    <w:rPr>
      <w:sz w:val="16"/>
      <w:szCs w:val="16"/>
    </w:rPr>
  </w:style>
  <w:style w:type="paragraph" w:styleId="CommentText">
    <w:name w:val="annotation text"/>
    <w:basedOn w:val="Normal"/>
    <w:link w:val="CommentTextChar"/>
    <w:semiHidden w:val="1"/>
    <w:unhideWhenUsed w:val="1"/>
    <w:rsid w:val="00B6639F"/>
  </w:style>
  <w:style w:type="character" w:styleId="CommentTextChar" w:customStyle="1">
    <w:name w:val="Comment Text Char"/>
    <w:basedOn w:val="DefaultParagraphFont"/>
    <w:link w:val="CommentText"/>
    <w:semiHidden w:val="1"/>
    <w:rsid w:val="00B6639F"/>
    <w:rPr>
      <w:snapToGrid w:val="0"/>
      <w:lang w:eastAsia="en-US"/>
    </w:rPr>
  </w:style>
  <w:style w:type="paragraph" w:styleId="CommentSubject">
    <w:name w:val="annotation subject"/>
    <w:basedOn w:val="CommentText"/>
    <w:next w:val="CommentText"/>
    <w:link w:val="CommentSubjectChar"/>
    <w:semiHidden w:val="1"/>
    <w:unhideWhenUsed w:val="1"/>
    <w:rsid w:val="00B6639F"/>
    <w:rPr>
      <w:b w:val="1"/>
      <w:bCs w:val="1"/>
    </w:rPr>
  </w:style>
  <w:style w:type="character" w:styleId="CommentSubjectChar" w:customStyle="1">
    <w:name w:val="Comment Subject Char"/>
    <w:basedOn w:val="CommentTextChar"/>
    <w:link w:val="CommentSubject"/>
    <w:semiHidden w:val="1"/>
    <w:rsid w:val="00B6639F"/>
    <w:rPr>
      <w:b w:val="1"/>
      <w:bCs w:val="1"/>
      <w:snapToGrid w:val="0"/>
      <w:lang w:eastAsia="en-US"/>
    </w:rPr>
  </w:style>
  <w:style w:type="paragraph" w:styleId="ListParagraph">
    <w:name w:val="List Paragraph"/>
    <w:basedOn w:val="Normal"/>
    <w:uiPriority w:val="34"/>
    <w:qFormat w:val="1"/>
    <w:rsid w:val="00C41EE0"/>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20.0" w:type="dxa"/>
        <w:bottom w:w="0.0" w:type="dxa"/>
        <w:right w:w="120.0" w:type="dxa"/>
      </w:tblCellMar>
    </w:tblPr>
  </w:style>
  <w:style w:type="table" w:styleId="Table2">
    <w:basedOn w:val="TableNormal"/>
    <w:tblPr>
      <w:tblStyleRowBandSize w:val="1"/>
      <w:tblStyleColBandSize w:val="1"/>
      <w:tblCellMar>
        <w:top w:w="0.0" w:type="dxa"/>
        <w:left w:w="120.0" w:type="dxa"/>
        <w:bottom w:w="0.0" w:type="dxa"/>
        <w:right w:w="12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20.0" w:type="dxa"/>
        <w:bottom w:w="0.0" w:type="dxa"/>
        <w:right w:w="120.0" w:type="dxa"/>
      </w:tblCellMar>
    </w:tblPr>
  </w:style>
  <w:style w:type="table" w:styleId="Table5">
    <w:basedOn w:val="TableNormal"/>
    <w:tblPr>
      <w:tblStyleRowBandSize w:val="1"/>
      <w:tblStyleColBandSize w:val="1"/>
      <w:tblCellMar>
        <w:top w:w="0.0" w:type="dxa"/>
        <w:left w:w="120.0" w:type="dxa"/>
        <w:bottom w:w="0.0" w:type="dxa"/>
        <w:right w:w="120.0" w:type="dxa"/>
      </w:tblCellMar>
    </w:tblPr>
  </w:style>
  <w:style w:type="table" w:styleId="Table6">
    <w:basedOn w:val="TableNormal"/>
    <w:tblPr>
      <w:tblStyleRowBandSize w:val="1"/>
      <w:tblStyleColBandSize w:val="1"/>
      <w:tblCellMar>
        <w:top w:w="0.0" w:type="dxa"/>
        <w:left w:w="120.0" w:type="dxa"/>
        <w:bottom w:w="0.0" w:type="dxa"/>
        <w:right w:w="12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20.0" w:type="dxa"/>
        <w:bottom w:w="0.0" w:type="dxa"/>
        <w:right w:w="120.0" w:type="dxa"/>
      </w:tblCellMar>
    </w:tblPr>
  </w:style>
  <w:style w:type="table" w:styleId="Table2">
    <w:basedOn w:val="TableNormal"/>
    <w:tblPr>
      <w:tblStyleRowBandSize w:val="1"/>
      <w:tblStyleColBandSize w:val="1"/>
      <w:tblCellMar>
        <w:top w:w="0.0" w:type="dxa"/>
        <w:left w:w="120.0" w:type="dxa"/>
        <w:bottom w:w="0.0" w:type="dxa"/>
        <w:right w:w="120.0" w:type="dxa"/>
      </w:tblCellMar>
    </w:tblPr>
  </w:style>
  <w:style w:type="table" w:styleId="Table3">
    <w:basedOn w:val="TableNormal"/>
    <w:tblPr>
      <w:tblStyleRowBandSize w:val="1"/>
      <w:tblStyleColBandSize w:val="1"/>
      <w:tblCellMar>
        <w:top w:w="0.0" w:type="dxa"/>
        <w:left w:w="120.0" w:type="dxa"/>
        <w:bottom w:w="0.0" w:type="dxa"/>
        <w:right w:w="120.0" w:type="dxa"/>
      </w:tblCellMar>
    </w:tblPr>
  </w:style>
  <w:style w:type="table" w:styleId="Table4">
    <w:basedOn w:val="TableNormal"/>
    <w:tblPr>
      <w:tblStyleRowBandSize w:val="1"/>
      <w:tblStyleColBandSize w:val="1"/>
      <w:tblCellMar>
        <w:top w:w="0.0" w:type="dxa"/>
        <w:left w:w="120.0" w:type="dxa"/>
        <w:bottom w:w="0.0" w:type="dxa"/>
        <w:right w:w="120.0" w:type="dxa"/>
      </w:tblCellMar>
    </w:tblPr>
  </w:style>
  <w:style w:type="table" w:styleId="Table5">
    <w:basedOn w:val="TableNormal"/>
    <w:tblPr>
      <w:tblStyleRowBandSize w:val="1"/>
      <w:tblStyleColBandSize w:val="1"/>
      <w:tblCellMar>
        <w:top w:w="0.0" w:type="dxa"/>
        <w:left w:w="120.0" w:type="dxa"/>
        <w:bottom w:w="0.0" w:type="dxa"/>
        <w:right w:w="120.0" w:type="dxa"/>
      </w:tblCellMar>
    </w:tblPr>
  </w:style>
  <w:style w:type="table" w:styleId="Table6">
    <w:basedOn w:val="TableNormal"/>
    <w:tblPr>
      <w:tblStyleRowBandSize w:val="1"/>
      <w:tblStyleColBandSize w:val="1"/>
      <w:tblCellMar>
        <w:top w:w="0.0" w:type="dxa"/>
        <w:left w:w="120.0" w:type="dxa"/>
        <w:bottom w:w="0.0" w:type="dxa"/>
        <w:right w:w="12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2019-12-13T15:27:00Z</dcterms:created>
  <dc:creator>CBerny</dc:creator>
</cp:coreProperties>
</file>