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937" w:rsidRPr="00B37972" w:rsidRDefault="005F1C96" w:rsidP="00265121">
      <w:pPr>
        <w:suppressAutoHyphens w:val="0"/>
        <w:spacing w:after="0" w:line="100" w:lineRule="atLeast"/>
        <w:jc w:val="center"/>
        <w:rPr>
          <w:rFonts w:ascii="Verdana" w:hAnsi="Verdana"/>
        </w:rPr>
      </w:pPr>
      <w:bookmarkStart w:id="0" w:name="_GoBack"/>
      <w:bookmarkEnd w:id="0"/>
      <w:r w:rsidRPr="00B37972">
        <w:rPr>
          <w:rFonts w:ascii="Verdana" w:hAnsi="Verdana"/>
          <w:noProof/>
          <w:lang w:val="en-US" w:eastAsia="en-US"/>
        </w:rPr>
        <w:drawing>
          <wp:inline distT="0" distB="0" distL="0" distR="0" wp14:anchorId="0602CBE1" wp14:editId="345428A4">
            <wp:extent cx="5759450" cy="10901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59450" cy="1090175"/>
                    </a:xfrm>
                    <a:prstGeom prst="rect">
                      <a:avLst/>
                    </a:prstGeom>
                  </pic:spPr>
                </pic:pic>
              </a:graphicData>
            </a:graphic>
          </wp:inline>
        </w:drawing>
      </w:r>
    </w:p>
    <w:p w:rsidR="00D12937" w:rsidRPr="00B37972" w:rsidRDefault="00D12937" w:rsidP="00265121">
      <w:pPr>
        <w:tabs>
          <w:tab w:val="right" w:pos="9026"/>
        </w:tabs>
        <w:suppressAutoHyphens w:val="0"/>
        <w:spacing w:after="0" w:line="100" w:lineRule="atLeast"/>
        <w:jc w:val="both"/>
        <w:rPr>
          <w:rFonts w:ascii="Verdana" w:hAnsi="Verdana"/>
        </w:rPr>
      </w:pPr>
    </w:p>
    <w:p w:rsidR="005049E6" w:rsidRPr="00B37972" w:rsidRDefault="005049E6" w:rsidP="00265121">
      <w:pPr>
        <w:tabs>
          <w:tab w:val="right" w:pos="9026"/>
        </w:tabs>
        <w:suppressAutoHyphens w:val="0"/>
        <w:spacing w:after="0" w:line="100" w:lineRule="atLeast"/>
        <w:jc w:val="both"/>
        <w:rPr>
          <w:rFonts w:ascii="Verdana" w:hAnsi="Verdana"/>
        </w:rPr>
      </w:pPr>
    </w:p>
    <w:p w:rsidR="00B42438" w:rsidRDefault="00F06800" w:rsidP="00B42438">
      <w:pPr>
        <w:tabs>
          <w:tab w:val="right" w:pos="7088"/>
        </w:tabs>
        <w:spacing w:after="0"/>
        <w:ind w:right="503"/>
        <w:jc w:val="right"/>
        <w:rPr>
          <w:rFonts w:ascii="Verdana" w:hAnsi="Verdana"/>
          <w:sz w:val="20"/>
        </w:rPr>
      </w:pPr>
      <w:r>
        <w:rPr>
          <w:rFonts w:ascii="Verdana" w:hAnsi="Verdana"/>
          <w:sz w:val="20"/>
        </w:rPr>
        <w:t xml:space="preserve">Adoption: </w:t>
      </w:r>
      <w:r w:rsidR="008C62D4">
        <w:rPr>
          <w:rFonts w:ascii="Verdana" w:hAnsi="Verdana"/>
          <w:sz w:val="20"/>
        </w:rPr>
        <w:t xml:space="preserve">21 </w:t>
      </w:r>
      <w:r w:rsidR="00C21894" w:rsidRPr="00B37972">
        <w:rPr>
          <w:rFonts w:ascii="Verdana" w:hAnsi="Verdana"/>
          <w:sz w:val="20"/>
        </w:rPr>
        <w:t xml:space="preserve">June </w:t>
      </w:r>
      <w:r w:rsidR="00363BEA" w:rsidRPr="00B37972">
        <w:rPr>
          <w:rFonts w:ascii="Verdana" w:hAnsi="Verdana"/>
          <w:sz w:val="20"/>
        </w:rPr>
        <w:t>2019</w:t>
      </w:r>
    </w:p>
    <w:p w:rsidR="00B42438" w:rsidRDefault="00B42438" w:rsidP="00B42438">
      <w:pPr>
        <w:tabs>
          <w:tab w:val="right" w:pos="7088"/>
        </w:tabs>
        <w:spacing w:after="0"/>
        <w:ind w:right="503"/>
        <w:jc w:val="right"/>
        <w:rPr>
          <w:rFonts w:ascii="Verdana" w:hAnsi="Verdana"/>
          <w:sz w:val="20"/>
        </w:rPr>
      </w:pPr>
    </w:p>
    <w:p w:rsidR="00B42438" w:rsidRDefault="00B42438" w:rsidP="00B42438">
      <w:pPr>
        <w:tabs>
          <w:tab w:val="right" w:pos="7088"/>
        </w:tabs>
        <w:spacing w:after="0"/>
        <w:ind w:right="503"/>
        <w:jc w:val="right"/>
        <w:rPr>
          <w:rFonts w:eastAsia="Calibri" w:cs="Times New Roman"/>
          <w:lang w:val="en-US" w:eastAsia="ja-JP"/>
        </w:rPr>
      </w:pPr>
      <w:r>
        <w:rPr>
          <w:highlight w:val="yellow"/>
          <w:lang w:val="en-US" w:eastAsia="ja-JP"/>
        </w:rPr>
        <w:t>Under embargo until Tuesday 9 July 2019 at 10.00 am Strasbourg time</w:t>
      </w:r>
    </w:p>
    <w:p w:rsidR="00D12937" w:rsidRDefault="00D12937" w:rsidP="00265121">
      <w:pPr>
        <w:tabs>
          <w:tab w:val="right" w:pos="9026"/>
        </w:tabs>
        <w:suppressAutoHyphens w:val="0"/>
        <w:spacing w:after="0" w:line="100" w:lineRule="atLeast"/>
        <w:jc w:val="both"/>
        <w:rPr>
          <w:rFonts w:ascii="Verdana" w:hAnsi="Verdana"/>
          <w:b/>
          <w:sz w:val="20"/>
        </w:rPr>
      </w:pPr>
    </w:p>
    <w:p w:rsidR="00B42438" w:rsidRPr="00B37972" w:rsidRDefault="00B42438" w:rsidP="00265121">
      <w:pPr>
        <w:tabs>
          <w:tab w:val="right" w:pos="9026"/>
        </w:tabs>
        <w:suppressAutoHyphens w:val="0"/>
        <w:spacing w:after="0" w:line="100" w:lineRule="atLeast"/>
        <w:jc w:val="both"/>
        <w:rPr>
          <w:rFonts w:ascii="Verdana" w:hAnsi="Verdana"/>
          <w:b/>
          <w:sz w:val="20"/>
        </w:rPr>
      </w:pPr>
    </w:p>
    <w:p w:rsidR="00D12937" w:rsidRPr="00B37972" w:rsidRDefault="00F06800" w:rsidP="00265121">
      <w:pPr>
        <w:tabs>
          <w:tab w:val="right" w:pos="9026"/>
        </w:tabs>
        <w:suppressAutoHyphens w:val="0"/>
        <w:spacing w:after="0" w:line="100" w:lineRule="atLeast"/>
        <w:jc w:val="both"/>
        <w:rPr>
          <w:rFonts w:ascii="Verdana" w:eastAsia="Times New Roman" w:hAnsi="Verdana"/>
          <w:b/>
          <w:bCs/>
          <w:sz w:val="20"/>
        </w:rPr>
      </w:pPr>
      <w:r w:rsidRPr="00F06800">
        <w:rPr>
          <w:rFonts w:ascii="Verdana" w:hAnsi="Verdana"/>
          <w:sz w:val="20"/>
        </w:rPr>
        <w:t>Publication: 9 July 2019</w:t>
      </w:r>
      <w:r w:rsidR="00D12937" w:rsidRPr="00B37972">
        <w:rPr>
          <w:rFonts w:ascii="Verdana" w:hAnsi="Verdana"/>
          <w:b/>
          <w:sz w:val="20"/>
        </w:rPr>
        <w:tab/>
      </w:r>
      <w:r w:rsidR="00FB718B" w:rsidRPr="00B37972">
        <w:rPr>
          <w:rFonts w:ascii="Verdana" w:hAnsi="Verdana"/>
          <w:b/>
          <w:bCs/>
          <w:sz w:val="20"/>
        </w:rPr>
        <w:t>Greco-AdHocRep(201</w:t>
      </w:r>
      <w:r w:rsidR="005F1C96" w:rsidRPr="00B37972">
        <w:rPr>
          <w:rFonts w:ascii="Verdana" w:hAnsi="Verdana"/>
          <w:b/>
          <w:bCs/>
          <w:sz w:val="20"/>
        </w:rPr>
        <w:t>9)1</w:t>
      </w:r>
    </w:p>
    <w:p w:rsidR="00D12937" w:rsidRPr="00B37972" w:rsidRDefault="00D12937" w:rsidP="00265121">
      <w:pPr>
        <w:suppressAutoHyphens w:val="0"/>
        <w:spacing w:after="0" w:line="100" w:lineRule="atLeast"/>
        <w:rPr>
          <w:rFonts w:ascii="Verdana" w:eastAsia="Times New Roman" w:hAnsi="Verdana"/>
          <w:bCs/>
          <w:sz w:val="20"/>
        </w:rPr>
      </w:pPr>
    </w:p>
    <w:p w:rsidR="00D12937" w:rsidRPr="00B37972" w:rsidRDefault="00D12937" w:rsidP="00265121">
      <w:pPr>
        <w:suppressAutoHyphens w:val="0"/>
        <w:spacing w:after="0" w:line="100" w:lineRule="atLeast"/>
        <w:rPr>
          <w:rFonts w:ascii="Verdana" w:eastAsia="Times New Roman" w:hAnsi="Verdana"/>
          <w:bCs/>
          <w:sz w:val="24"/>
          <w:szCs w:val="24"/>
        </w:rPr>
      </w:pPr>
    </w:p>
    <w:p w:rsidR="00D12937" w:rsidRPr="00B37972" w:rsidRDefault="00D12937" w:rsidP="00265121">
      <w:pPr>
        <w:suppressAutoHyphens w:val="0"/>
        <w:spacing w:after="0" w:line="100" w:lineRule="atLeast"/>
        <w:rPr>
          <w:rFonts w:ascii="Verdana" w:eastAsia="Times New Roman" w:hAnsi="Verdana"/>
          <w:bCs/>
          <w:sz w:val="24"/>
          <w:szCs w:val="24"/>
        </w:rPr>
      </w:pPr>
    </w:p>
    <w:p w:rsidR="00D12937" w:rsidRPr="00B37972" w:rsidRDefault="00D12937" w:rsidP="00265121">
      <w:pPr>
        <w:suppressAutoHyphens w:val="0"/>
        <w:spacing w:after="0" w:line="100" w:lineRule="atLeast"/>
        <w:rPr>
          <w:rFonts w:ascii="Verdana" w:eastAsia="Times New Roman" w:hAnsi="Verdana"/>
          <w:bCs/>
          <w:sz w:val="24"/>
          <w:szCs w:val="24"/>
        </w:rPr>
      </w:pPr>
    </w:p>
    <w:p w:rsidR="00D12937" w:rsidRPr="00B37972" w:rsidRDefault="00D12937" w:rsidP="00265121">
      <w:pPr>
        <w:suppressAutoHyphens w:val="0"/>
        <w:spacing w:after="0" w:line="100" w:lineRule="atLeast"/>
        <w:rPr>
          <w:rFonts w:ascii="Verdana" w:eastAsia="Times New Roman" w:hAnsi="Verdana"/>
          <w:bCs/>
          <w:sz w:val="24"/>
          <w:szCs w:val="24"/>
        </w:rPr>
      </w:pPr>
    </w:p>
    <w:p w:rsidR="00D12937" w:rsidRPr="00B37972" w:rsidRDefault="00D12937" w:rsidP="00265121">
      <w:pPr>
        <w:suppressAutoHyphens w:val="0"/>
        <w:spacing w:after="0" w:line="100" w:lineRule="atLeast"/>
        <w:rPr>
          <w:rFonts w:ascii="Verdana" w:eastAsia="Times New Roman" w:hAnsi="Verdana"/>
          <w:bCs/>
          <w:sz w:val="24"/>
          <w:szCs w:val="24"/>
        </w:rPr>
      </w:pPr>
    </w:p>
    <w:p w:rsidR="00D12937" w:rsidRPr="00B37972" w:rsidRDefault="00D12937" w:rsidP="00265121">
      <w:pPr>
        <w:suppressAutoHyphens w:val="0"/>
        <w:spacing w:after="0" w:line="100" w:lineRule="atLeast"/>
        <w:rPr>
          <w:rFonts w:ascii="Verdana" w:eastAsia="Times New Roman" w:hAnsi="Verdana"/>
          <w:bCs/>
          <w:sz w:val="24"/>
          <w:szCs w:val="24"/>
        </w:rPr>
      </w:pPr>
    </w:p>
    <w:p w:rsidR="00D12937" w:rsidRPr="00B37972" w:rsidRDefault="00D12937" w:rsidP="00265121">
      <w:pPr>
        <w:suppressAutoHyphens w:val="0"/>
        <w:spacing w:after="0" w:line="100" w:lineRule="atLeast"/>
        <w:rPr>
          <w:rFonts w:ascii="Verdana" w:eastAsia="Times New Roman" w:hAnsi="Verdana"/>
          <w:bCs/>
          <w:sz w:val="24"/>
          <w:szCs w:val="24"/>
        </w:rPr>
      </w:pPr>
    </w:p>
    <w:p w:rsidR="00D12937" w:rsidRPr="00B37972" w:rsidRDefault="00D12937" w:rsidP="00265121">
      <w:pPr>
        <w:suppressAutoHyphens w:val="0"/>
        <w:spacing w:after="0" w:line="100" w:lineRule="atLeast"/>
        <w:rPr>
          <w:rFonts w:ascii="Verdana" w:eastAsia="Times New Roman" w:hAnsi="Verdana"/>
          <w:bCs/>
          <w:sz w:val="24"/>
          <w:szCs w:val="24"/>
        </w:rPr>
      </w:pPr>
    </w:p>
    <w:p w:rsidR="00D12937" w:rsidRPr="00B37972" w:rsidRDefault="00D12937" w:rsidP="00265121">
      <w:pPr>
        <w:suppressAutoHyphens w:val="0"/>
        <w:spacing w:after="0" w:line="100" w:lineRule="atLeast"/>
        <w:rPr>
          <w:rFonts w:ascii="Verdana" w:eastAsia="Times New Roman" w:hAnsi="Verdana"/>
          <w:bCs/>
          <w:sz w:val="24"/>
          <w:szCs w:val="24"/>
        </w:rPr>
      </w:pPr>
    </w:p>
    <w:p w:rsidR="00C30A49" w:rsidRPr="00B37972" w:rsidRDefault="00C30A49" w:rsidP="00265121">
      <w:pPr>
        <w:suppressAutoHyphens w:val="0"/>
        <w:spacing w:after="0" w:line="100" w:lineRule="atLeast"/>
        <w:rPr>
          <w:rFonts w:ascii="Verdana" w:eastAsia="Times New Roman" w:hAnsi="Verdana"/>
          <w:bCs/>
          <w:sz w:val="24"/>
          <w:szCs w:val="24"/>
        </w:rPr>
      </w:pPr>
    </w:p>
    <w:p w:rsidR="00D12937" w:rsidRPr="00B37972" w:rsidRDefault="00D12937" w:rsidP="00265121">
      <w:pPr>
        <w:suppressAutoHyphens w:val="0"/>
        <w:spacing w:after="0" w:line="100" w:lineRule="atLeast"/>
        <w:rPr>
          <w:rFonts w:ascii="Verdana" w:eastAsia="Times New Roman" w:hAnsi="Verdana"/>
          <w:bCs/>
          <w:sz w:val="24"/>
          <w:szCs w:val="24"/>
        </w:rPr>
      </w:pPr>
    </w:p>
    <w:p w:rsidR="00D12937" w:rsidRPr="00B37972" w:rsidRDefault="00D12937" w:rsidP="00265121">
      <w:pPr>
        <w:suppressAutoHyphens w:val="0"/>
        <w:spacing w:after="0" w:line="100" w:lineRule="atLeast"/>
        <w:rPr>
          <w:rFonts w:ascii="Verdana" w:eastAsia="Times New Roman" w:hAnsi="Verdana"/>
          <w:bCs/>
          <w:sz w:val="24"/>
          <w:szCs w:val="24"/>
        </w:rPr>
      </w:pPr>
    </w:p>
    <w:p w:rsidR="00D12937" w:rsidRPr="00B37972" w:rsidRDefault="00D12937" w:rsidP="00265121">
      <w:pPr>
        <w:suppressAutoHyphens w:val="0"/>
        <w:spacing w:after="0" w:line="100" w:lineRule="atLeast"/>
        <w:rPr>
          <w:rFonts w:ascii="Verdana" w:hAnsi="Verdana"/>
          <w:b/>
          <w:bCs/>
          <w:sz w:val="24"/>
          <w:szCs w:val="24"/>
          <w:u w:val="single"/>
        </w:rPr>
      </w:pPr>
    </w:p>
    <w:p w:rsidR="00D12937" w:rsidRPr="00B37972" w:rsidRDefault="00D12937" w:rsidP="00265121">
      <w:pPr>
        <w:suppressAutoHyphens w:val="0"/>
        <w:spacing w:after="0" w:line="100" w:lineRule="atLeast"/>
        <w:rPr>
          <w:rFonts w:ascii="Verdana" w:hAnsi="Verdana"/>
          <w:b/>
          <w:sz w:val="24"/>
          <w:szCs w:val="24"/>
        </w:rPr>
      </w:pPr>
    </w:p>
    <w:p w:rsidR="00D12937" w:rsidRPr="00B37972" w:rsidRDefault="00D12937" w:rsidP="00265121">
      <w:pPr>
        <w:suppressAutoHyphens w:val="0"/>
        <w:spacing w:after="0" w:line="100" w:lineRule="atLeast"/>
        <w:rPr>
          <w:rFonts w:ascii="Verdana" w:hAnsi="Verdana"/>
          <w:b/>
          <w:sz w:val="24"/>
          <w:szCs w:val="24"/>
        </w:rPr>
      </w:pPr>
    </w:p>
    <w:tbl>
      <w:tblPr>
        <w:tblW w:w="0" w:type="auto"/>
        <w:tblInd w:w="2093" w:type="dxa"/>
        <w:tblLayout w:type="fixed"/>
        <w:tblLook w:val="0000" w:firstRow="0" w:lastRow="0" w:firstColumn="0" w:lastColumn="0" w:noHBand="0" w:noVBand="0"/>
      </w:tblPr>
      <w:tblGrid>
        <w:gridCol w:w="5103"/>
      </w:tblGrid>
      <w:tr w:rsidR="00D12937" w:rsidRPr="00B37972">
        <w:tc>
          <w:tcPr>
            <w:tcW w:w="5103" w:type="dxa"/>
            <w:tcBorders>
              <w:left w:val="single" w:sz="4" w:space="0" w:color="000000"/>
            </w:tcBorders>
            <w:shd w:val="clear" w:color="auto" w:fill="auto"/>
          </w:tcPr>
          <w:p w:rsidR="00E41EB3" w:rsidRPr="00B37972" w:rsidRDefault="00D116CA" w:rsidP="00265121">
            <w:pPr>
              <w:suppressAutoHyphens w:val="0"/>
              <w:spacing w:after="0" w:line="100" w:lineRule="atLeast"/>
              <w:ind w:left="175" w:firstLine="11"/>
              <w:rPr>
                <w:rFonts w:ascii="Verdana" w:hAnsi="Verdana"/>
                <w:b/>
                <w:sz w:val="32"/>
                <w:szCs w:val="32"/>
              </w:rPr>
            </w:pPr>
            <w:r w:rsidRPr="00B37972">
              <w:rPr>
                <w:rFonts w:ascii="Verdana" w:hAnsi="Verdana"/>
                <w:b/>
                <w:sz w:val="32"/>
                <w:szCs w:val="32"/>
              </w:rPr>
              <w:t>Follow-up</w:t>
            </w:r>
            <w:r w:rsidR="00E41EB3" w:rsidRPr="00B37972">
              <w:rPr>
                <w:rFonts w:ascii="Verdana" w:hAnsi="Verdana"/>
                <w:b/>
                <w:sz w:val="32"/>
                <w:szCs w:val="32"/>
              </w:rPr>
              <w:t xml:space="preserve"> Report </w:t>
            </w:r>
            <w:r w:rsidR="004B2CA6" w:rsidRPr="00B37972">
              <w:rPr>
                <w:rFonts w:ascii="Verdana" w:hAnsi="Verdana"/>
                <w:b/>
                <w:sz w:val="32"/>
                <w:szCs w:val="32"/>
              </w:rPr>
              <w:t>to</w:t>
            </w:r>
          </w:p>
          <w:p w:rsidR="00D12937" w:rsidRPr="00B37972" w:rsidRDefault="00E41EB3" w:rsidP="00265121">
            <w:pPr>
              <w:suppressAutoHyphens w:val="0"/>
              <w:spacing w:after="0" w:line="100" w:lineRule="atLeast"/>
              <w:ind w:left="175" w:firstLine="11"/>
              <w:rPr>
                <w:rFonts w:ascii="Verdana" w:hAnsi="Verdana"/>
                <w:b/>
                <w:sz w:val="32"/>
                <w:szCs w:val="32"/>
              </w:rPr>
            </w:pPr>
            <w:r w:rsidRPr="00B37972">
              <w:rPr>
                <w:rFonts w:ascii="Verdana" w:hAnsi="Verdana"/>
                <w:b/>
                <w:sz w:val="32"/>
                <w:szCs w:val="32"/>
              </w:rPr>
              <w:t xml:space="preserve">the </w:t>
            </w:r>
            <w:r w:rsidR="00D12937" w:rsidRPr="00B37972">
              <w:rPr>
                <w:rFonts w:ascii="Verdana" w:hAnsi="Verdana"/>
                <w:b/>
                <w:sz w:val="32"/>
                <w:szCs w:val="32"/>
              </w:rPr>
              <w:t>Ad hoc Report on ROMANIA</w:t>
            </w:r>
          </w:p>
          <w:p w:rsidR="00D12937" w:rsidRPr="00B37972" w:rsidRDefault="00D12937" w:rsidP="00265121">
            <w:pPr>
              <w:suppressAutoHyphens w:val="0"/>
              <w:spacing w:after="0" w:line="100" w:lineRule="atLeast"/>
              <w:ind w:left="175"/>
              <w:rPr>
                <w:rFonts w:ascii="Verdana" w:hAnsi="Verdana"/>
              </w:rPr>
            </w:pPr>
            <w:r w:rsidRPr="00B37972">
              <w:rPr>
                <w:rFonts w:ascii="Verdana" w:hAnsi="Verdana"/>
                <w:b/>
                <w:sz w:val="32"/>
                <w:szCs w:val="32"/>
              </w:rPr>
              <w:t>(Rule 34)</w:t>
            </w:r>
          </w:p>
        </w:tc>
      </w:tr>
      <w:tr w:rsidR="00D12937" w:rsidRPr="00B37972">
        <w:tc>
          <w:tcPr>
            <w:tcW w:w="5103" w:type="dxa"/>
            <w:tcBorders>
              <w:left w:val="single" w:sz="4" w:space="0" w:color="000000"/>
            </w:tcBorders>
            <w:shd w:val="clear" w:color="auto" w:fill="auto"/>
          </w:tcPr>
          <w:p w:rsidR="00D12937" w:rsidRPr="00B37972" w:rsidRDefault="00D12937" w:rsidP="00265121">
            <w:pPr>
              <w:pStyle w:val="Titlu1"/>
              <w:keepNext w:val="0"/>
              <w:suppressAutoHyphens w:val="0"/>
              <w:ind w:left="175" w:firstLine="0"/>
              <w:jc w:val="left"/>
              <w:rPr>
                <w:rFonts w:ascii="Verdana" w:hAnsi="Verdana" w:cs="Calibri"/>
                <w:b w:val="0"/>
                <w:bCs w:val="0"/>
                <w:sz w:val="32"/>
                <w:szCs w:val="32"/>
              </w:rPr>
            </w:pPr>
          </w:p>
          <w:p w:rsidR="00D12937" w:rsidRPr="00B37972" w:rsidRDefault="00D12937" w:rsidP="00265121">
            <w:pPr>
              <w:pStyle w:val="Titlu1"/>
              <w:keepNext w:val="0"/>
              <w:suppressAutoHyphens w:val="0"/>
              <w:ind w:left="175" w:firstLine="0"/>
              <w:jc w:val="left"/>
              <w:rPr>
                <w:rFonts w:ascii="Verdana" w:hAnsi="Verdana" w:cs="Calibri"/>
                <w:b w:val="0"/>
                <w:bCs w:val="0"/>
                <w:sz w:val="32"/>
                <w:szCs w:val="32"/>
              </w:rPr>
            </w:pPr>
          </w:p>
          <w:p w:rsidR="00D12937" w:rsidRPr="00B37972" w:rsidRDefault="00D12937" w:rsidP="00265121">
            <w:pPr>
              <w:pStyle w:val="Titlu1"/>
              <w:keepNext w:val="0"/>
              <w:suppressAutoHyphens w:val="0"/>
              <w:ind w:left="175" w:firstLine="0"/>
              <w:jc w:val="left"/>
              <w:rPr>
                <w:rFonts w:ascii="Verdana" w:hAnsi="Verdana" w:cs="Calibri"/>
                <w:b w:val="0"/>
                <w:bCs w:val="0"/>
                <w:sz w:val="32"/>
                <w:szCs w:val="32"/>
              </w:rPr>
            </w:pPr>
          </w:p>
          <w:p w:rsidR="00D12937" w:rsidRPr="00B37972" w:rsidRDefault="008C62D4" w:rsidP="00265121">
            <w:pPr>
              <w:pStyle w:val="Titlu1"/>
              <w:keepNext w:val="0"/>
              <w:suppressAutoHyphens w:val="0"/>
              <w:ind w:left="175" w:firstLine="0"/>
              <w:jc w:val="left"/>
              <w:rPr>
                <w:rFonts w:ascii="Verdana" w:hAnsi="Verdana" w:cs="Calibri"/>
                <w:b w:val="0"/>
                <w:bCs w:val="0"/>
                <w:sz w:val="28"/>
                <w:szCs w:val="28"/>
              </w:rPr>
            </w:pPr>
            <w:r>
              <w:rPr>
                <w:rFonts w:ascii="Verdana" w:hAnsi="Verdana" w:cs="Calibri"/>
                <w:b w:val="0"/>
                <w:bCs w:val="0"/>
                <w:sz w:val="28"/>
                <w:szCs w:val="28"/>
              </w:rPr>
              <w:t xml:space="preserve">Adopted </w:t>
            </w:r>
            <w:r w:rsidR="00D12937" w:rsidRPr="00B37972">
              <w:rPr>
                <w:rFonts w:ascii="Verdana" w:hAnsi="Verdana" w:cs="Calibri"/>
                <w:b w:val="0"/>
                <w:bCs w:val="0"/>
                <w:sz w:val="28"/>
                <w:szCs w:val="28"/>
              </w:rPr>
              <w:t>by GRECO</w:t>
            </w:r>
          </w:p>
          <w:p w:rsidR="00D12937" w:rsidRPr="00B37972" w:rsidRDefault="00D12937" w:rsidP="00265121">
            <w:pPr>
              <w:pStyle w:val="Titlu1"/>
              <w:keepNext w:val="0"/>
              <w:suppressAutoHyphens w:val="0"/>
              <w:ind w:left="175" w:firstLine="0"/>
              <w:jc w:val="left"/>
              <w:rPr>
                <w:rFonts w:ascii="Verdana" w:hAnsi="Verdana" w:cs="Calibri"/>
                <w:sz w:val="28"/>
                <w:szCs w:val="28"/>
              </w:rPr>
            </w:pPr>
            <w:r w:rsidRPr="00B37972">
              <w:rPr>
                <w:rFonts w:ascii="Verdana" w:hAnsi="Verdana" w:cs="Calibri"/>
                <w:b w:val="0"/>
                <w:bCs w:val="0"/>
                <w:sz w:val="28"/>
                <w:szCs w:val="28"/>
              </w:rPr>
              <w:t xml:space="preserve">at its </w:t>
            </w:r>
            <w:r w:rsidR="005F1C96" w:rsidRPr="00B37972">
              <w:rPr>
                <w:rFonts w:ascii="Verdana" w:hAnsi="Verdana" w:cs="Calibri"/>
                <w:b w:val="0"/>
                <w:bCs w:val="0"/>
                <w:sz w:val="28"/>
                <w:szCs w:val="28"/>
              </w:rPr>
              <w:t>83</w:t>
            </w:r>
            <w:r w:rsidR="005F1C96" w:rsidRPr="00B37972">
              <w:rPr>
                <w:rFonts w:ascii="Verdana" w:hAnsi="Verdana" w:cs="Calibri"/>
                <w:b w:val="0"/>
                <w:bCs w:val="0"/>
                <w:sz w:val="28"/>
                <w:szCs w:val="28"/>
                <w:vertAlign w:val="superscript"/>
              </w:rPr>
              <w:t>rd</w:t>
            </w:r>
            <w:r w:rsidR="005F1C96" w:rsidRPr="00B37972">
              <w:rPr>
                <w:rFonts w:ascii="Verdana" w:hAnsi="Verdana" w:cs="Calibri"/>
                <w:b w:val="0"/>
                <w:bCs w:val="0"/>
                <w:sz w:val="28"/>
                <w:szCs w:val="28"/>
              </w:rPr>
              <w:t xml:space="preserve"> </w:t>
            </w:r>
            <w:r w:rsidRPr="00B37972">
              <w:rPr>
                <w:rFonts w:ascii="Verdana" w:hAnsi="Verdana" w:cs="Calibri"/>
                <w:b w:val="0"/>
                <w:bCs w:val="0"/>
                <w:sz w:val="28"/>
                <w:szCs w:val="28"/>
              </w:rPr>
              <w:t>Plenary Meeting</w:t>
            </w:r>
          </w:p>
          <w:p w:rsidR="00D12937" w:rsidRPr="00B37972" w:rsidRDefault="00D12937" w:rsidP="005F1C96">
            <w:pPr>
              <w:suppressAutoHyphens w:val="0"/>
              <w:ind w:left="175"/>
              <w:rPr>
                <w:rFonts w:ascii="Verdana" w:hAnsi="Verdana"/>
              </w:rPr>
            </w:pPr>
            <w:r w:rsidRPr="00B37972">
              <w:rPr>
                <w:rFonts w:ascii="Verdana" w:hAnsi="Verdana"/>
                <w:sz w:val="28"/>
                <w:szCs w:val="28"/>
              </w:rPr>
              <w:t xml:space="preserve">(Strasbourg, </w:t>
            </w:r>
            <w:r w:rsidR="005F1C96" w:rsidRPr="00B37972">
              <w:rPr>
                <w:rFonts w:ascii="Verdana" w:hAnsi="Verdana"/>
                <w:sz w:val="28"/>
                <w:szCs w:val="28"/>
              </w:rPr>
              <w:t>17-21 June 2019</w:t>
            </w:r>
            <w:r w:rsidRPr="00B37972">
              <w:rPr>
                <w:rFonts w:ascii="Verdana" w:hAnsi="Verdana"/>
                <w:sz w:val="28"/>
                <w:szCs w:val="28"/>
              </w:rPr>
              <w:t>)</w:t>
            </w:r>
          </w:p>
        </w:tc>
      </w:tr>
    </w:tbl>
    <w:p w:rsidR="00265121" w:rsidRPr="00B37972" w:rsidRDefault="00265121">
      <w:pPr>
        <w:suppressAutoHyphens w:val="0"/>
        <w:spacing w:after="0" w:line="240" w:lineRule="auto"/>
        <w:rPr>
          <w:rFonts w:ascii="Verdana" w:hAnsi="Verdana"/>
          <w:b/>
          <w:sz w:val="24"/>
        </w:rPr>
      </w:pPr>
      <w:r w:rsidRPr="00B37972">
        <w:rPr>
          <w:rFonts w:ascii="Verdana" w:hAnsi="Verdana"/>
          <w:b/>
          <w:sz w:val="24"/>
        </w:rPr>
        <w:br w:type="page"/>
      </w:r>
    </w:p>
    <w:p w:rsidR="00D12937" w:rsidRPr="00B37972" w:rsidRDefault="005049E6" w:rsidP="00B37972">
      <w:pPr>
        <w:pStyle w:val="Listparagraf"/>
        <w:numPr>
          <w:ilvl w:val="0"/>
          <w:numId w:val="9"/>
        </w:numPr>
        <w:tabs>
          <w:tab w:val="left" w:pos="1134"/>
        </w:tabs>
        <w:suppressAutoHyphens w:val="0"/>
        <w:spacing w:after="0" w:line="240" w:lineRule="auto"/>
        <w:rPr>
          <w:rFonts w:ascii="Verdana" w:hAnsi="Verdana"/>
          <w:b/>
          <w:sz w:val="20"/>
          <w:szCs w:val="24"/>
          <w:u w:val="single"/>
        </w:rPr>
      </w:pPr>
      <w:r w:rsidRPr="00B37972">
        <w:rPr>
          <w:rFonts w:ascii="Verdana" w:hAnsi="Verdana"/>
          <w:b/>
          <w:sz w:val="20"/>
          <w:szCs w:val="24"/>
          <w:u w:val="single"/>
        </w:rPr>
        <w:lastRenderedPageBreak/>
        <w:t>INTRODUCTION</w:t>
      </w:r>
    </w:p>
    <w:p w:rsidR="00D12937" w:rsidRPr="00B37972" w:rsidRDefault="00D12937" w:rsidP="00B37972">
      <w:pPr>
        <w:suppressAutoHyphens w:val="0"/>
        <w:spacing w:after="0" w:line="240" w:lineRule="auto"/>
        <w:rPr>
          <w:rFonts w:ascii="Verdana" w:hAnsi="Verdana"/>
          <w:b/>
          <w:sz w:val="20"/>
          <w:szCs w:val="24"/>
        </w:rPr>
      </w:pPr>
    </w:p>
    <w:p w:rsidR="006829CC" w:rsidRPr="00B37972" w:rsidRDefault="006829CC"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rPr>
        <w:t xml:space="preserve">A </w:t>
      </w:r>
      <w:r w:rsidR="00D12937" w:rsidRPr="00B37972">
        <w:rPr>
          <w:rFonts w:ascii="Verdana" w:hAnsi="Verdana"/>
          <w:sz w:val="20"/>
          <w:szCs w:val="24"/>
        </w:rPr>
        <w:t xml:space="preserve">series of reforms </w:t>
      </w:r>
      <w:r w:rsidR="00580E59" w:rsidRPr="00B37972">
        <w:rPr>
          <w:rFonts w:ascii="Verdana" w:hAnsi="Verdana"/>
          <w:sz w:val="20"/>
          <w:szCs w:val="24"/>
        </w:rPr>
        <w:t>in the justice system</w:t>
      </w:r>
      <w:r w:rsidRPr="00B37972">
        <w:rPr>
          <w:rFonts w:ascii="Verdana" w:hAnsi="Verdana"/>
          <w:sz w:val="20"/>
          <w:szCs w:val="24"/>
        </w:rPr>
        <w:t>,</w:t>
      </w:r>
      <w:r w:rsidR="00580E59" w:rsidRPr="00B37972">
        <w:rPr>
          <w:rFonts w:ascii="Verdana" w:hAnsi="Verdana"/>
          <w:sz w:val="20"/>
          <w:szCs w:val="24"/>
        </w:rPr>
        <w:t xml:space="preserve"> </w:t>
      </w:r>
      <w:r w:rsidR="00D12937" w:rsidRPr="00B37972">
        <w:rPr>
          <w:rFonts w:ascii="Verdana" w:hAnsi="Verdana"/>
          <w:sz w:val="20"/>
          <w:szCs w:val="24"/>
        </w:rPr>
        <w:t xml:space="preserve">initiated </w:t>
      </w:r>
      <w:r w:rsidR="00580E59" w:rsidRPr="00B37972">
        <w:rPr>
          <w:rFonts w:ascii="Verdana" w:hAnsi="Verdana"/>
          <w:sz w:val="20"/>
          <w:szCs w:val="24"/>
        </w:rPr>
        <w:t xml:space="preserve">by the Romanian Government in the course of 2017, </w:t>
      </w:r>
      <w:r w:rsidRPr="00B37972">
        <w:rPr>
          <w:rFonts w:ascii="Verdana" w:hAnsi="Verdana"/>
          <w:sz w:val="20"/>
          <w:szCs w:val="24"/>
        </w:rPr>
        <w:t xml:space="preserve">led to </w:t>
      </w:r>
      <w:r w:rsidR="00D12937" w:rsidRPr="00B37972">
        <w:rPr>
          <w:rFonts w:ascii="Verdana" w:hAnsi="Verdana"/>
          <w:sz w:val="20"/>
          <w:szCs w:val="24"/>
        </w:rPr>
        <w:t xml:space="preserve">a </w:t>
      </w:r>
      <w:r w:rsidRPr="00B37972">
        <w:rPr>
          <w:rFonts w:ascii="Verdana" w:hAnsi="Verdana"/>
          <w:sz w:val="20"/>
          <w:szCs w:val="24"/>
        </w:rPr>
        <w:t xml:space="preserve">large-scale </w:t>
      </w:r>
      <w:r w:rsidR="00D12937" w:rsidRPr="00B37972">
        <w:rPr>
          <w:rFonts w:ascii="Verdana" w:hAnsi="Verdana"/>
          <w:sz w:val="20"/>
          <w:szCs w:val="24"/>
        </w:rPr>
        <w:t xml:space="preserve">wave of public protests and concerns expressed by </w:t>
      </w:r>
      <w:r w:rsidRPr="00B37972">
        <w:rPr>
          <w:rFonts w:ascii="Verdana" w:hAnsi="Verdana"/>
          <w:sz w:val="20"/>
          <w:szCs w:val="24"/>
        </w:rPr>
        <w:t>numerous representatives and associations of the judiciary and prosecution</w:t>
      </w:r>
      <w:r w:rsidR="00D12937" w:rsidRPr="00B37972">
        <w:rPr>
          <w:rFonts w:ascii="Verdana" w:hAnsi="Verdana"/>
          <w:sz w:val="20"/>
          <w:szCs w:val="24"/>
        </w:rPr>
        <w:t xml:space="preserve">, as well as by </w:t>
      </w:r>
      <w:r w:rsidR="00417681" w:rsidRPr="00B37972">
        <w:rPr>
          <w:rFonts w:ascii="Verdana" w:hAnsi="Verdana"/>
          <w:sz w:val="20"/>
          <w:szCs w:val="24"/>
        </w:rPr>
        <w:t xml:space="preserve">the </w:t>
      </w:r>
      <w:r w:rsidR="00AE6D05" w:rsidRPr="00B37972">
        <w:rPr>
          <w:rFonts w:ascii="Verdana" w:hAnsi="Verdana"/>
          <w:sz w:val="20"/>
          <w:szCs w:val="24"/>
        </w:rPr>
        <w:t xml:space="preserve">international </w:t>
      </w:r>
      <w:r w:rsidR="00417681" w:rsidRPr="00B37972">
        <w:rPr>
          <w:rFonts w:ascii="Verdana" w:hAnsi="Verdana"/>
          <w:sz w:val="20"/>
          <w:szCs w:val="24"/>
        </w:rPr>
        <w:t>community</w:t>
      </w:r>
      <w:r w:rsidR="00D12937" w:rsidRPr="00B37972">
        <w:rPr>
          <w:rFonts w:ascii="Verdana" w:hAnsi="Verdana"/>
          <w:sz w:val="20"/>
          <w:szCs w:val="24"/>
        </w:rPr>
        <w:t xml:space="preserve">, about the consequences of the intended reforms for the independence of judges and prosecutors. This occurred in parallel with the on-going compliance procedure in </w:t>
      </w:r>
      <w:r w:rsidR="00F14209" w:rsidRPr="00B37972">
        <w:rPr>
          <w:rFonts w:ascii="Verdana" w:hAnsi="Verdana"/>
          <w:sz w:val="20"/>
          <w:szCs w:val="24"/>
        </w:rPr>
        <w:t xml:space="preserve">GRECO’s </w:t>
      </w:r>
      <w:r w:rsidR="00D12937" w:rsidRPr="00B37972">
        <w:rPr>
          <w:rFonts w:ascii="Verdana" w:hAnsi="Verdana"/>
          <w:sz w:val="20"/>
          <w:szCs w:val="24"/>
        </w:rPr>
        <w:t xml:space="preserve">Fourth Evaluation Round (covering, </w:t>
      </w:r>
      <w:r w:rsidR="00D12937" w:rsidRPr="00B37972">
        <w:rPr>
          <w:rFonts w:ascii="Verdana" w:hAnsi="Verdana"/>
          <w:i/>
          <w:sz w:val="20"/>
          <w:szCs w:val="24"/>
        </w:rPr>
        <w:t>inter alia</w:t>
      </w:r>
      <w:r w:rsidR="00D12937" w:rsidRPr="00B37972">
        <w:rPr>
          <w:rFonts w:ascii="Verdana" w:hAnsi="Verdana"/>
          <w:sz w:val="20"/>
          <w:szCs w:val="24"/>
        </w:rPr>
        <w:t xml:space="preserve">, corruption prevention in relation to judges and prosecutors). </w:t>
      </w:r>
    </w:p>
    <w:p w:rsidR="006829CC" w:rsidRPr="00B37972" w:rsidRDefault="006829CC" w:rsidP="00B37972">
      <w:pPr>
        <w:pStyle w:val="Listparagraf"/>
        <w:tabs>
          <w:tab w:val="left" w:pos="567"/>
        </w:tabs>
        <w:suppressAutoHyphens w:val="0"/>
        <w:spacing w:after="0" w:line="240" w:lineRule="auto"/>
        <w:ind w:left="0"/>
        <w:jc w:val="both"/>
        <w:rPr>
          <w:rFonts w:ascii="Verdana" w:hAnsi="Verdana"/>
          <w:sz w:val="20"/>
          <w:szCs w:val="24"/>
        </w:rPr>
      </w:pPr>
    </w:p>
    <w:p w:rsidR="00D12937" w:rsidRPr="00B37972" w:rsidRDefault="00417681"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rPr>
        <w:t xml:space="preserve">As a consequence, </w:t>
      </w:r>
      <w:r w:rsidR="00D12937" w:rsidRPr="00B37972">
        <w:rPr>
          <w:rFonts w:ascii="Verdana" w:hAnsi="Verdana"/>
          <w:sz w:val="20"/>
          <w:szCs w:val="24"/>
        </w:rPr>
        <w:t>GRECO decided at its 78</w:t>
      </w:r>
      <w:r w:rsidR="00D12937" w:rsidRPr="00B37972">
        <w:rPr>
          <w:rFonts w:ascii="Verdana" w:hAnsi="Verdana"/>
          <w:sz w:val="20"/>
          <w:szCs w:val="24"/>
          <w:vertAlign w:val="superscript"/>
        </w:rPr>
        <w:t>th</w:t>
      </w:r>
      <w:r w:rsidR="00D12937" w:rsidRPr="00B37972">
        <w:rPr>
          <w:rFonts w:ascii="Verdana" w:hAnsi="Verdana"/>
          <w:sz w:val="20"/>
          <w:szCs w:val="24"/>
        </w:rPr>
        <w:t xml:space="preserve"> Plenary Meeting (4-8 December 2017)</w:t>
      </w:r>
      <w:r w:rsidR="00F44219" w:rsidRPr="00B37972">
        <w:rPr>
          <w:rFonts w:ascii="Verdana" w:hAnsi="Verdana"/>
          <w:sz w:val="20"/>
          <w:szCs w:val="24"/>
        </w:rPr>
        <w:t>,</w:t>
      </w:r>
      <w:r w:rsidR="00D66012" w:rsidRPr="00B37972">
        <w:rPr>
          <w:rFonts w:ascii="Verdana" w:hAnsi="Verdana"/>
          <w:sz w:val="20"/>
          <w:szCs w:val="24"/>
        </w:rPr>
        <w:t xml:space="preserve"> when </w:t>
      </w:r>
      <w:r w:rsidR="00F44219" w:rsidRPr="00B37972">
        <w:rPr>
          <w:rFonts w:ascii="Verdana" w:hAnsi="Verdana"/>
          <w:sz w:val="20"/>
          <w:szCs w:val="24"/>
        </w:rPr>
        <w:t>adopt</w:t>
      </w:r>
      <w:r w:rsidRPr="00B37972">
        <w:rPr>
          <w:rFonts w:ascii="Verdana" w:hAnsi="Verdana"/>
          <w:sz w:val="20"/>
          <w:szCs w:val="24"/>
        </w:rPr>
        <w:t>ing</w:t>
      </w:r>
      <w:r w:rsidR="00F44219" w:rsidRPr="00B37972">
        <w:rPr>
          <w:rFonts w:ascii="Verdana" w:hAnsi="Verdana"/>
          <w:sz w:val="20"/>
          <w:szCs w:val="24"/>
        </w:rPr>
        <w:t xml:space="preserve"> </w:t>
      </w:r>
      <w:r w:rsidR="00D66012" w:rsidRPr="00B37972">
        <w:rPr>
          <w:rFonts w:ascii="Verdana" w:hAnsi="Verdana"/>
          <w:sz w:val="20"/>
          <w:szCs w:val="24"/>
        </w:rPr>
        <w:t xml:space="preserve">the </w:t>
      </w:r>
      <w:r w:rsidR="00F44219" w:rsidRPr="00B37972">
        <w:rPr>
          <w:rFonts w:ascii="Verdana" w:hAnsi="Verdana"/>
          <w:sz w:val="20"/>
          <w:szCs w:val="24"/>
        </w:rPr>
        <w:t xml:space="preserve">Fourth Evaluation Round </w:t>
      </w:r>
      <w:r w:rsidR="00D66012" w:rsidRPr="00B37972">
        <w:rPr>
          <w:rFonts w:ascii="Verdana" w:hAnsi="Verdana"/>
          <w:sz w:val="20"/>
          <w:szCs w:val="24"/>
        </w:rPr>
        <w:t>Compliance Report</w:t>
      </w:r>
      <w:r w:rsidR="00F44219" w:rsidRPr="00B37972">
        <w:rPr>
          <w:rStyle w:val="Referinnotdesubsol"/>
          <w:rFonts w:ascii="Verdana" w:hAnsi="Verdana"/>
          <w:sz w:val="20"/>
          <w:szCs w:val="24"/>
        </w:rPr>
        <w:footnoteReference w:id="1"/>
      </w:r>
      <w:r w:rsidR="00F44219" w:rsidRPr="00B37972">
        <w:rPr>
          <w:rFonts w:ascii="Verdana" w:hAnsi="Verdana"/>
          <w:sz w:val="20"/>
          <w:szCs w:val="24"/>
        </w:rPr>
        <w:t>,</w:t>
      </w:r>
      <w:r w:rsidR="006829CC" w:rsidRPr="00B37972">
        <w:rPr>
          <w:rFonts w:ascii="Verdana" w:hAnsi="Verdana"/>
          <w:sz w:val="20"/>
          <w:szCs w:val="24"/>
        </w:rPr>
        <w:t xml:space="preserve"> </w:t>
      </w:r>
      <w:r w:rsidR="00D12937" w:rsidRPr="00B37972">
        <w:rPr>
          <w:rFonts w:ascii="Verdana" w:hAnsi="Verdana"/>
          <w:sz w:val="20"/>
          <w:szCs w:val="24"/>
        </w:rPr>
        <w:t xml:space="preserve">to apply Rule 34 of its Rules of Procedure in respect of Romania. This Rule </w:t>
      </w:r>
      <w:r w:rsidR="006829CC" w:rsidRPr="00B37972">
        <w:rPr>
          <w:rFonts w:ascii="Verdana" w:hAnsi="Verdana"/>
          <w:sz w:val="20"/>
          <w:szCs w:val="24"/>
        </w:rPr>
        <w:t>allows GRECO to carry out an</w:t>
      </w:r>
      <w:r w:rsidR="00D12937" w:rsidRPr="00B37972">
        <w:rPr>
          <w:rFonts w:ascii="Verdana" w:hAnsi="Verdana"/>
          <w:sz w:val="20"/>
          <w:szCs w:val="24"/>
        </w:rPr>
        <w:t xml:space="preserve"> </w:t>
      </w:r>
      <w:r w:rsidR="00D12937" w:rsidRPr="00B37972">
        <w:rPr>
          <w:rFonts w:ascii="Verdana" w:hAnsi="Verdana"/>
          <w:i/>
          <w:sz w:val="20"/>
          <w:szCs w:val="24"/>
        </w:rPr>
        <w:t>ad hoc</w:t>
      </w:r>
      <w:r w:rsidR="00D12937" w:rsidRPr="00B37972">
        <w:rPr>
          <w:rFonts w:ascii="Verdana" w:hAnsi="Verdana"/>
          <w:sz w:val="20"/>
          <w:szCs w:val="24"/>
        </w:rPr>
        <w:t xml:space="preserve"> </w:t>
      </w:r>
      <w:r w:rsidR="006829CC" w:rsidRPr="00B37972">
        <w:rPr>
          <w:rFonts w:ascii="Verdana" w:hAnsi="Verdana"/>
          <w:sz w:val="20"/>
          <w:szCs w:val="24"/>
        </w:rPr>
        <w:t xml:space="preserve">evaluation </w:t>
      </w:r>
      <w:r w:rsidR="00D12937" w:rsidRPr="00B37972">
        <w:rPr>
          <w:rFonts w:ascii="Verdana" w:hAnsi="Verdana"/>
          <w:sz w:val="20"/>
          <w:szCs w:val="24"/>
        </w:rPr>
        <w:t>procedure in exceptional circumstances, when GRECO receives reliable information concerning institutional reforms, legislative initiatives or procedural changes</w:t>
      </w:r>
      <w:r w:rsidR="00D520D3" w:rsidRPr="00B37972">
        <w:rPr>
          <w:rFonts w:ascii="Verdana" w:hAnsi="Verdana"/>
          <w:sz w:val="20"/>
          <w:szCs w:val="24"/>
        </w:rPr>
        <w:t xml:space="preserve"> in member States</w:t>
      </w:r>
      <w:r w:rsidR="00D12937" w:rsidRPr="00B37972">
        <w:rPr>
          <w:rFonts w:ascii="Verdana" w:hAnsi="Verdana"/>
          <w:sz w:val="20"/>
          <w:szCs w:val="24"/>
        </w:rPr>
        <w:t xml:space="preserve"> </w:t>
      </w:r>
      <w:r w:rsidR="006829CC" w:rsidRPr="00B37972">
        <w:rPr>
          <w:rFonts w:ascii="Verdana" w:hAnsi="Verdana"/>
          <w:sz w:val="20"/>
          <w:szCs w:val="24"/>
        </w:rPr>
        <w:t xml:space="preserve">which </w:t>
      </w:r>
      <w:r w:rsidR="00D12937" w:rsidRPr="00B37972">
        <w:rPr>
          <w:rFonts w:ascii="Verdana" w:hAnsi="Verdana"/>
          <w:sz w:val="20"/>
          <w:szCs w:val="24"/>
        </w:rPr>
        <w:t xml:space="preserve">may result in serious violations of anti-corruption standards of the Council of Europe. </w:t>
      </w:r>
      <w:r w:rsidR="006829CC" w:rsidRPr="00B37972">
        <w:rPr>
          <w:rFonts w:ascii="Verdana" w:hAnsi="Verdana"/>
          <w:sz w:val="20"/>
          <w:szCs w:val="24"/>
        </w:rPr>
        <w:t xml:space="preserve">Owing to </w:t>
      </w:r>
      <w:r w:rsidR="00D12937" w:rsidRPr="00B37972">
        <w:rPr>
          <w:rFonts w:ascii="Verdana" w:hAnsi="Verdana"/>
          <w:sz w:val="20"/>
          <w:szCs w:val="24"/>
        </w:rPr>
        <w:t xml:space="preserve">the </w:t>
      </w:r>
      <w:r w:rsidR="00F14209" w:rsidRPr="00B37972">
        <w:rPr>
          <w:rFonts w:ascii="Verdana" w:hAnsi="Verdana"/>
          <w:sz w:val="20"/>
          <w:szCs w:val="24"/>
        </w:rPr>
        <w:t xml:space="preserve">complexity of the issues </w:t>
      </w:r>
      <w:r w:rsidR="006829CC" w:rsidRPr="00B37972">
        <w:rPr>
          <w:rFonts w:ascii="Verdana" w:hAnsi="Verdana"/>
          <w:sz w:val="20"/>
          <w:szCs w:val="24"/>
        </w:rPr>
        <w:t>to examine</w:t>
      </w:r>
      <w:r w:rsidR="0043469C" w:rsidRPr="00B37972">
        <w:rPr>
          <w:rFonts w:ascii="Verdana" w:hAnsi="Verdana"/>
          <w:sz w:val="20"/>
          <w:szCs w:val="24"/>
        </w:rPr>
        <w:t xml:space="preserve"> and the fact that the reform was on-going</w:t>
      </w:r>
      <w:r w:rsidR="00C6531F" w:rsidRPr="00B37972">
        <w:rPr>
          <w:rFonts w:ascii="Verdana" w:hAnsi="Verdana"/>
          <w:sz w:val="20"/>
          <w:szCs w:val="24"/>
        </w:rPr>
        <w:t xml:space="preserve">, </w:t>
      </w:r>
      <w:r w:rsidR="0043469C" w:rsidRPr="00B37972">
        <w:rPr>
          <w:rFonts w:ascii="Verdana" w:hAnsi="Verdana"/>
          <w:sz w:val="20"/>
          <w:szCs w:val="24"/>
        </w:rPr>
        <w:t xml:space="preserve">GRECO carried out </w:t>
      </w:r>
      <w:r w:rsidR="00D12937" w:rsidRPr="00B37972">
        <w:rPr>
          <w:rFonts w:ascii="Verdana" w:hAnsi="Verdana"/>
          <w:sz w:val="20"/>
          <w:szCs w:val="24"/>
        </w:rPr>
        <w:t>an on-site visit</w:t>
      </w:r>
      <w:r w:rsidR="0043469C" w:rsidRPr="00B37972">
        <w:rPr>
          <w:rFonts w:ascii="Verdana" w:hAnsi="Verdana"/>
          <w:sz w:val="20"/>
          <w:szCs w:val="24"/>
        </w:rPr>
        <w:t xml:space="preserve">, with the approval of </w:t>
      </w:r>
      <w:r w:rsidR="00D12937" w:rsidRPr="00B37972">
        <w:rPr>
          <w:rFonts w:ascii="Verdana" w:hAnsi="Verdana"/>
          <w:sz w:val="20"/>
          <w:szCs w:val="24"/>
        </w:rPr>
        <w:t xml:space="preserve">the Romanian authorities. </w:t>
      </w:r>
      <w:r w:rsidR="0043469C" w:rsidRPr="00B37972">
        <w:rPr>
          <w:rFonts w:ascii="Verdana" w:hAnsi="Verdana"/>
          <w:sz w:val="20"/>
          <w:szCs w:val="24"/>
        </w:rPr>
        <w:t xml:space="preserve">The </w:t>
      </w:r>
      <w:r w:rsidR="0043469C" w:rsidRPr="00B37972">
        <w:rPr>
          <w:rFonts w:ascii="Verdana" w:hAnsi="Verdana"/>
          <w:i/>
          <w:sz w:val="20"/>
          <w:szCs w:val="24"/>
        </w:rPr>
        <w:t>ad hoc</w:t>
      </w:r>
      <w:r w:rsidR="0043469C" w:rsidRPr="00B37972">
        <w:rPr>
          <w:rFonts w:ascii="Verdana" w:hAnsi="Verdana"/>
          <w:sz w:val="20"/>
          <w:szCs w:val="24"/>
        </w:rPr>
        <w:t xml:space="preserve"> evaluation team, composed of </w:t>
      </w:r>
      <w:r w:rsidR="00D12937" w:rsidRPr="00B37972">
        <w:rPr>
          <w:rFonts w:ascii="Verdana" w:hAnsi="Verdana"/>
          <w:sz w:val="20"/>
          <w:szCs w:val="24"/>
        </w:rPr>
        <w:t>Ms Panagiota VATIKALOU (Gre</w:t>
      </w:r>
      <w:r w:rsidR="00504084" w:rsidRPr="00B37972">
        <w:rPr>
          <w:rFonts w:ascii="Verdana" w:hAnsi="Verdana"/>
          <w:sz w:val="20"/>
          <w:szCs w:val="24"/>
        </w:rPr>
        <w:t>ece) and Ms Vita HABJAN BARBORIČ</w:t>
      </w:r>
      <w:r w:rsidR="00D12937" w:rsidRPr="00B37972">
        <w:rPr>
          <w:rFonts w:ascii="Verdana" w:hAnsi="Verdana"/>
          <w:sz w:val="20"/>
          <w:szCs w:val="24"/>
        </w:rPr>
        <w:t xml:space="preserve"> (Slovenia) </w:t>
      </w:r>
      <w:r w:rsidR="00253F8A" w:rsidRPr="00B37972">
        <w:rPr>
          <w:rFonts w:ascii="Verdana" w:hAnsi="Verdana"/>
          <w:sz w:val="20"/>
          <w:szCs w:val="24"/>
        </w:rPr>
        <w:t>as rapporteurs</w:t>
      </w:r>
      <w:r w:rsidR="00D12937" w:rsidRPr="00B37972">
        <w:rPr>
          <w:rFonts w:ascii="Verdana" w:hAnsi="Verdana"/>
          <w:sz w:val="20"/>
          <w:szCs w:val="24"/>
        </w:rPr>
        <w:t>, assisted by Christophe SPECKBACHER from the GRECO Secretariat</w:t>
      </w:r>
      <w:r w:rsidR="0043469C" w:rsidRPr="00B37972">
        <w:rPr>
          <w:rFonts w:ascii="Verdana" w:hAnsi="Verdana"/>
          <w:sz w:val="20"/>
          <w:szCs w:val="24"/>
        </w:rPr>
        <w:t xml:space="preserve">, </w:t>
      </w:r>
      <w:r w:rsidR="00D12937" w:rsidRPr="00B37972">
        <w:rPr>
          <w:rFonts w:ascii="Verdana" w:hAnsi="Verdana"/>
          <w:sz w:val="20"/>
          <w:szCs w:val="24"/>
        </w:rPr>
        <w:t>held a series of meetings</w:t>
      </w:r>
      <w:r w:rsidR="00D765D8" w:rsidRPr="00B37972">
        <w:rPr>
          <w:rStyle w:val="Referinnotdesubsol"/>
          <w:rFonts w:ascii="Verdana" w:hAnsi="Verdana"/>
          <w:sz w:val="20"/>
          <w:szCs w:val="24"/>
        </w:rPr>
        <w:footnoteReference w:id="2"/>
      </w:r>
      <w:r w:rsidR="00D12937" w:rsidRPr="00B37972">
        <w:rPr>
          <w:rFonts w:ascii="Verdana" w:hAnsi="Verdana"/>
          <w:sz w:val="20"/>
          <w:szCs w:val="24"/>
        </w:rPr>
        <w:t xml:space="preserve"> </w:t>
      </w:r>
      <w:r w:rsidR="0043469C" w:rsidRPr="00B37972">
        <w:rPr>
          <w:rFonts w:ascii="Verdana" w:hAnsi="Verdana"/>
          <w:sz w:val="20"/>
          <w:szCs w:val="24"/>
        </w:rPr>
        <w:t>in Romania on 21-</w:t>
      </w:r>
      <w:r w:rsidR="00D12937" w:rsidRPr="00B37972">
        <w:rPr>
          <w:rFonts w:ascii="Verdana" w:hAnsi="Verdana"/>
          <w:sz w:val="20"/>
          <w:szCs w:val="24"/>
        </w:rPr>
        <w:t>22 February 201</w:t>
      </w:r>
      <w:r w:rsidR="00815888" w:rsidRPr="00B37972">
        <w:rPr>
          <w:rFonts w:ascii="Verdana" w:hAnsi="Verdana"/>
          <w:sz w:val="20"/>
          <w:szCs w:val="24"/>
        </w:rPr>
        <w:t>8</w:t>
      </w:r>
      <w:r w:rsidR="00D765D8" w:rsidRPr="00B37972">
        <w:rPr>
          <w:rFonts w:ascii="Verdana" w:hAnsi="Verdana"/>
          <w:sz w:val="20"/>
          <w:szCs w:val="24"/>
        </w:rPr>
        <w:t>.</w:t>
      </w:r>
    </w:p>
    <w:p w:rsidR="00D12937" w:rsidRPr="00B37972" w:rsidRDefault="00D12937" w:rsidP="00B37972">
      <w:pPr>
        <w:pStyle w:val="Listparagraf"/>
        <w:tabs>
          <w:tab w:val="left" w:pos="567"/>
        </w:tabs>
        <w:suppressAutoHyphens w:val="0"/>
        <w:spacing w:after="0" w:line="240" w:lineRule="auto"/>
        <w:ind w:left="0"/>
        <w:jc w:val="both"/>
        <w:rPr>
          <w:rFonts w:ascii="Verdana" w:hAnsi="Verdana"/>
          <w:sz w:val="20"/>
          <w:szCs w:val="24"/>
        </w:rPr>
      </w:pPr>
    </w:p>
    <w:p w:rsidR="00D953C6" w:rsidRPr="00B37972" w:rsidRDefault="0043469C"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rPr>
        <w:t>GRECO adopted t</w:t>
      </w:r>
      <w:r w:rsidR="00D12937" w:rsidRPr="00B37972">
        <w:rPr>
          <w:rFonts w:ascii="Verdana" w:hAnsi="Verdana"/>
          <w:sz w:val="20"/>
          <w:szCs w:val="24"/>
        </w:rPr>
        <w:t xml:space="preserve">he </w:t>
      </w:r>
      <w:r w:rsidR="00D12937" w:rsidRPr="00B37972">
        <w:rPr>
          <w:rFonts w:ascii="Verdana" w:hAnsi="Verdana"/>
          <w:i/>
          <w:sz w:val="20"/>
          <w:szCs w:val="24"/>
        </w:rPr>
        <w:t xml:space="preserve">Rule 34 </w:t>
      </w:r>
      <w:r w:rsidR="00D953C6" w:rsidRPr="00B37972">
        <w:rPr>
          <w:rFonts w:ascii="Verdana" w:hAnsi="Verdana"/>
          <w:i/>
          <w:sz w:val="20"/>
          <w:szCs w:val="24"/>
        </w:rPr>
        <w:t>A</w:t>
      </w:r>
      <w:r w:rsidR="00D12937" w:rsidRPr="00B37972">
        <w:rPr>
          <w:rFonts w:ascii="Verdana" w:hAnsi="Verdana"/>
          <w:i/>
          <w:sz w:val="20"/>
          <w:szCs w:val="24"/>
        </w:rPr>
        <w:t>d hoc</w:t>
      </w:r>
      <w:r w:rsidR="00D12937" w:rsidRPr="00B37972">
        <w:rPr>
          <w:rFonts w:ascii="Verdana" w:hAnsi="Verdana"/>
          <w:sz w:val="20"/>
          <w:szCs w:val="24"/>
        </w:rPr>
        <w:t xml:space="preserve"> </w:t>
      </w:r>
      <w:r w:rsidR="00D953C6" w:rsidRPr="00B37972">
        <w:rPr>
          <w:rFonts w:ascii="Verdana" w:hAnsi="Verdana"/>
          <w:sz w:val="20"/>
          <w:szCs w:val="24"/>
        </w:rPr>
        <w:t>R</w:t>
      </w:r>
      <w:r w:rsidR="00D12937" w:rsidRPr="00B37972">
        <w:rPr>
          <w:rFonts w:ascii="Verdana" w:hAnsi="Verdana"/>
          <w:sz w:val="20"/>
          <w:szCs w:val="24"/>
        </w:rPr>
        <w:t>eport</w:t>
      </w:r>
      <w:r w:rsidRPr="00B37972">
        <w:rPr>
          <w:rFonts w:ascii="Verdana" w:hAnsi="Verdana"/>
          <w:sz w:val="20"/>
          <w:szCs w:val="24"/>
        </w:rPr>
        <w:t xml:space="preserve"> </w:t>
      </w:r>
      <w:r w:rsidR="00D953C6" w:rsidRPr="00B37972">
        <w:rPr>
          <w:rFonts w:ascii="Verdana" w:hAnsi="Verdana"/>
          <w:sz w:val="20"/>
          <w:szCs w:val="24"/>
        </w:rPr>
        <w:t xml:space="preserve">on Romania (hereinafter “Ad </w:t>
      </w:r>
      <w:r w:rsidR="000D5F3C" w:rsidRPr="00B37972">
        <w:rPr>
          <w:rFonts w:ascii="Verdana" w:hAnsi="Verdana"/>
          <w:sz w:val="20"/>
          <w:szCs w:val="24"/>
        </w:rPr>
        <w:t>h</w:t>
      </w:r>
      <w:r w:rsidR="00D953C6" w:rsidRPr="00B37972">
        <w:rPr>
          <w:rFonts w:ascii="Verdana" w:hAnsi="Verdana"/>
          <w:sz w:val="20"/>
          <w:szCs w:val="24"/>
        </w:rPr>
        <w:t xml:space="preserve">oc Report”) </w:t>
      </w:r>
      <w:r w:rsidRPr="00B37972">
        <w:rPr>
          <w:rFonts w:ascii="Verdana" w:hAnsi="Verdana"/>
          <w:sz w:val="20"/>
          <w:szCs w:val="24"/>
        </w:rPr>
        <w:t>on 23 March 2018</w:t>
      </w:r>
      <w:r w:rsidR="00230416" w:rsidRPr="00B37972">
        <w:rPr>
          <w:rFonts w:ascii="Verdana" w:hAnsi="Verdana"/>
          <w:sz w:val="20"/>
          <w:szCs w:val="24"/>
        </w:rPr>
        <w:t>,</w:t>
      </w:r>
      <w:r w:rsidRPr="00B37972">
        <w:rPr>
          <w:rFonts w:ascii="Verdana" w:hAnsi="Verdana"/>
          <w:sz w:val="20"/>
          <w:szCs w:val="24"/>
        </w:rPr>
        <w:t xml:space="preserve"> at its 79th Plenary Meeting, and made it public on 11 April 2018</w:t>
      </w:r>
      <w:r w:rsidR="004D4480" w:rsidRPr="00B37972">
        <w:rPr>
          <w:rFonts w:ascii="Verdana" w:hAnsi="Verdana"/>
          <w:sz w:val="20"/>
          <w:szCs w:val="24"/>
        </w:rPr>
        <w:t>, following the authorisation of the Romanian authorities</w:t>
      </w:r>
      <w:r w:rsidRPr="00B37972">
        <w:rPr>
          <w:rFonts w:ascii="Verdana" w:hAnsi="Verdana"/>
          <w:sz w:val="20"/>
          <w:szCs w:val="24"/>
        </w:rPr>
        <w:t xml:space="preserve">. The </w:t>
      </w:r>
      <w:r w:rsidR="00D953C6" w:rsidRPr="00B37972">
        <w:rPr>
          <w:rFonts w:ascii="Verdana" w:hAnsi="Verdana"/>
          <w:sz w:val="20"/>
          <w:szCs w:val="24"/>
        </w:rPr>
        <w:t>A</w:t>
      </w:r>
      <w:r w:rsidRPr="00B37972">
        <w:rPr>
          <w:rFonts w:ascii="Verdana" w:hAnsi="Verdana"/>
          <w:sz w:val="20"/>
          <w:szCs w:val="24"/>
        </w:rPr>
        <w:t xml:space="preserve">d </w:t>
      </w:r>
      <w:r w:rsidR="000D5F3C" w:rsidRPr="00B37972">
        <w:rPr>
          <w:rFonts w:ascii="Verdana" w:hAnsi="Verdana"/>
          <w:sz w:val="20"/>
          <w:szCs w:val="24"/>
        </w:rPr>
        <w:t>h</w:t>
      </w:r>
      <w:r w:rsidRPr="00B37972">
        <w:rPr>
          <w:rFonts w:ascii="Verdana" w:hAnsi="Verdana"/>
          <w:sz w:val="20"/>
          <w:szCs w:val="24"/>
        </w:rPr>
        <w:t xml:space="preserve">oc </w:t>
      </w:r>
      <w:r w:rsidR="00D953C6" w:rsidRPr="00B37972">
        <w:rPr>
          <w:rFonts w:ascii="Verdana" w:hAnsi="Verdana"/>
          <w:sz w:val="20"/>
          <w:szCs w:val="24"/>
        </w:rPr>
        <w:t>R</w:t>
      </w:r>
      <w:r w:rsidRPr="00B37972">
        <w:rPr>
          <w:rFonts w:ascii="Verdana" w:hAnsi="Verdana"/>
          <w:sz w:val="20"/>
          <w:szCs w:val="24"/>
        </w:rPr>
        <w:t xml:space="preserve">eport </w:t>
      </w:r>
      <w:r w:rsidR="007B32EA" w:rsidRPr="00B37972">
        <w:rPr>
          <w:rFonts w:ascii="Verdana" w:hAnsi="Verdana"/>
          <w:sz w:val="20"/>
          <w:szCs w:val="24"/>
        </w:rPr>
        <w:t xml:space="preserve">focussed on analysing the impact and risks the </w:t>
      </w:r>
      <w:r w:rsidR="00D520D3" w:rsidRPr="00B37972">
        <w:rPr>
          <w:rFonts w:ascii="Verdana" w:hAnsi="Verdana"/>
          <w:sz w:val="20"/>
          <w:szCs w:val="24"/>
        </w:rPr>
        <w:t xml:space="preserve">then </w:t>
      </w:r>
      <w:r w:rsidR="007B32EA" w:rsidRPr="00B37972">
        <w:rPr>
          <w:rFonts w:ascii="Verdana" w:hAnsi="Verdana"/>
          <w:sz w:val="20"/>
          <w:szCs w:val="24"/>
        </w:rPr>
        <w:t xml:space="preserve">intended legislation would have in respect of the corruption prevention standards developed by the Council of Europe and GRECO. </w:t>
      </w:r>
      <w:r w:rsidR="00230416" w:rsidRPr="00B37972">
        <w:rPr>
          <w:rFonts w:ascii="Verdana" w:hAnsi="Verdana"/>
          <w:sz w:val="20"/>
          <w:szCs w:val="24"/>
        </w:rPr>
        <w:t>F</w:t>
      </w:r>
      <w:r w:rsidR="00D520D3" w:rsidRPr="00B37972">
        <w:rPr>
          <w:rFonts w:ascii="Verdana" w:hAnsi="Verdana"/>
          <w:sz w:val="20"/>
          <w:szCs w:val="24"/>
        </w:rPr>
        <w:t xml:space="preserve">ive recommendations in the Ad hoc Report </w:t>
      </w:r>
      <w:r w:rsidR="00230416" w:rsidRPr="00B37972">
        <w:rPr>
          <w:rFonts w:ascii="Verdana" w:hAnsi="Verdana"/>
          <w:sz w:val="20"/>
          <w:szCs w:val="24"/>
        </w:rPr>
        <w:t xml:space="preserve">were adopted </w:t>
      </w:r>
      <w:r w:rsidR="00D520D3" w:rsidRPr="00B37972">
        <w:rPr>
          <w:rFonts w:ascii="Verdana" w:hAnsi="Verdana"/>
          <w:sz w:val="20"/>
          <w:szCs w:val="24"/>
        </w:rPr>
        <w:t xml:space="preserve">and </w:t>
      </w:r>
      <w:r w:rsidR="00230416" w:rsidRPr="00B37972">
        <w:rPr>
          <w:rFonts w:ascii="Verdana" w:hAnsi="Verdana"/>
          <w:sz w:val="20"/>
          <w:szCs w:val="24"/>
        </w:rPr>
        <w:t xml:space="preserve">GRECO </w:t>
      </w:r>
      <w:r w:rsidR="00D520D3" w:rsidRPr="00B37972">
        <w:rPr>
          <w:rFonts w:ascii="Verdana" w:hAnsi="Verdana"/>
          <w:sz w:val="20"/>
          <w:szCs w:val="24"/>
        </w:rPr>
        <w:t xml:space="preserve">reiterated two recommendations from its Fourth Round Evaluation Report. </w:t>
      </w:r>
      <w:r w:rsidR="00417681" w:rsidRPr="00B37972">
        <w:rPr>
          <w:rFonts w:ascii="Verdana" w:hAnsi="Verdana"/>
          <w:sz w:val="20"/>
          <w:szCs w:val="24"/>
        </w:rPr>
        <w:t xml:space="preserve">The Ad hoc Report </w:t>
      </w:r>
      <w:r w:rsidR="00D520D3" w:rsidRPr="00B37972">
        <w:rPr>
          <w:rFonts w:ascii="Verdana" w:hAnsi="Verdana"/>
          <w:sz w:val="20"/>
          <w:szCs w:val="24"/>
        </w:rPr>
        <w:t xml:space="preserve">also </w:t>
      </w:r>
      <w:r w:rsidR="00D12937" w:rsidRPr="00B37972">
        <w:rPr>
          <w:rFonts w:ascii="Verdana" w:hAnsi="Verdana"/>
          <w:sz w:val="20"/>
          <w:szCs w:val="24"/>
        </w:rPr>
        <w:t>contain</w:t>
      </w:r>
      <w:r w:rsidRPr="00B37972">
        <w:rPr>
          <w:rFonts w:ascii="Verdana" w:hAnsi="Verdana"/>
          <w:sz w:val="20"/>
          <w:szCs w:val="24"/>
        </w:rPr>
        <w:t>ed</w:t>
      </w:r>
      <w:r w:rsidR="00D12937" w:rsidRPr="00B37972">
        <w:rPr>
          <w:rFonts w:ascii="Verdana" w:hAnsi="Verdana"/>
          <w:sz w:val="20"/>
          <w:szCs w:val="24"/>
        </w:rPr>
        <w:t xml:space="preserve"> a summary of the legislative and other measures planned by Romania within the context of the judicial reform</w:t>
      </w:r>
      <w:r w:rsidR="00230416" w:rsidRPr="00B37972">
        <w:rPr>
          <w:rFonts w:ascii="Verdana" w:hAnsi="Verdana"/>
          <w:sz w:val="20"/>
          <w:szCs w:val="24"/>
        </w:rPr>
        <w:t>,</w:t>
      </w:r>
      <w:r w:rsidR="00D12937" w:rsidRPr="00B37972">
        <w:rPr>
          <w:rFonts w:ascii="Verdana" w:hAnsi="Verdana"/>
          <w:sz w:val="20"/>
          <w:szCs w:val="24"/>
        </w:rPr>
        <w:t xml:space="preserve"> and in connection with the </w:t>
      </w:r>
      <w:r w:rsidR="00C6531F" w:rsidRPr="00B37972">
        <w:rPr>
          <w:rFonts w:ascii="Verdana" w:hAnsi="Verdana"/>
          <w:sz w:val="20"/>
          <w:szCs w:val="24"/>
        </w:rPr>
        <w:t xml:space="preserve">functioning of the </w:t>
      </w:r>
      <w:r w:rsidR="00D12937" w:rsidRPr="00B37972">
        <w:rPr>
          <w:rFonts w:ascii="Verdana" w:hAnsi="Verdana"/>
          <w:sz w:val="20"/>
          <w:szCs w:val="24"/>
        </w:rPr>
        <w:t>criminal justice system</w:t>
      </w:r>
      <w:r w:rsidR="00230416" w:rsidRPr="00B37972">
        <w:rPr>
          <w:rFonts w:ascii="Verdana" w:hAnsi="Verdana"/>
          <w:sz w:val="20"/>
          <w:szCs w:val="24"/>
        </w:rPr>
        <w:t>, as well as</w:t>
      </w:r>
      <w:r w:rsidR="007B32EA" w:rsidRPr="00B37972">
        <w:rPr>
          <w:rFonts w:ascii="Verdana" w:hAnsi="Verdana"/>
          <w:sz w:val="20"/>
          <w:szCs w:val="24"/>
        </w:rPr>
        <w:t xml:space="preserve"> </w:t>
      </w:r>
      <w:r w:rsidR="00D12937" w:rsidRPr="00B37972">
        <w:rPr>
          <w:rFonts w:ascii="Verdana" w:hAnsi="Verdana"/>
          <w:sz w:val="20"/>
          <w:szCs w:val="24"/>
        </w:rPr>
        <w:t>reactions to intended amendments from national institutions and professional organisations of judges and prosecutors, the European Commission and other</w:t>
      </w:r>
      <w:r w:rsidR="007B32EA" w:rsidRPr="00B37972">
        <w:rPr>
          <w:rFonts w:ascii="Verdana" w:hAnsi="Verdana"/>
          <w:sz w:val="20"/>
          <w:szCs w:val="24"/>
        </w:rPr>
        <w:t xml:space="preserve"> relevant actor</w:t>
      </w:r>
      <w:r w:rsidR="00D953C6" w:rsidRPr="00B37972">
        <w:rPr>
          <w:rFonts w:ascii="Verdana" w:hAnsi="Verdana"/>
          <w:sz w:val="20"/>
          <w:szCs w:val="24"/>
        </w:rPr>
        <w:t xml:space="preserve">s. </w:t>
      </w:r>
      <w:r w:rsidR="007B32EA" w:rsidRPr="00B37972">
        <w:rPr>
          <w:rFonts w:ascii="Verdana" w:hAnsi="Verdana"/>
          <w:sz w:val="20"/>
          <w:szCs w:val="24"/>
        </w:rPr>
        <w:t>The Romanian authorities provide</w:t>
      </w:r>
      <w:r w:rsidR="004D4480" w:rsidRPr="00B37972">
        <w:rPr>
          <w:rFonts w:ascii="Verdana" w:hAnsi="Verdana"/>
          <w:sz w:val="20"/>
          <w:szCs w:val="24"/>
        </w:rPr>
        <w:t>d</w:t>
      </w:r>
      <w:r w:rsidR="007B32EA" w:rsidRPr="00B37972">
        <w:rPr>
          <w:rFonts w:ascii="Verdana" w:hAnsi="Verdana"/>
          <w:sz w:val="20"/>
          <w:szCs w:val="24"/>
        </w:rPr>
        <w:t xml:space="preserve"> additional information </w:t>
      </w:r>
      <w:r w:rsidR="004D4480" w:rsidRPr="00B37972">
        <w:rPr>
          <w:rFonts w:ascii="Verdana" w:hAnsi="Verdana"/>
          <w:sz w:val="20"/>
          <w:szCs w:val="24"/>
        </w:rPr>
        <w:t>to GRECO</w:t>
      </w:r>
      <w:r w:rsidR="00230416" w:rsidRPr="00B37972">
        <w:rPr>
          <w:rFonts w:ascii="Verdana" w:hAnsi="Verdana"/>
          <w:sz w:val="20"/>
          <w:szCs w:val="24"/>
        </w:rPr>
        <w:t>,</w:t>
      </w:r>
      <w:r w:rsidR="004D4480" w:rsidRPr="00B37972">
        <w:rPr>
          <w:rFonts w:ascii="Verdana" w:hAnsi="Verdana"/>
          <w:sz w:val="20"/>
          <w:szCs w:val="24"/>
        </w:rPr>
        <w:t xml:space="preserve"> in June and December 2018</w:t>
      </w:r>
      <w:r w:rsidR="00230416" w:rsidRPr="00B37972">
        <w:rPr>
          <w:rFonts w:ascii="Verdana" w:hAnsi="Verdana"/>
          <w:sz w:val="20"/>
          <w:szCs w:val="24"/>
        </w:rPr>
        <w:t>,</w:t>
      </w:r>
      <w:r w:rsidR="004D4480" w:rsidRPr="00B37972">
        <w:rPr>
          <w:rFonts w:ascii="Verdana" w:hAnsi="Verdana"/>
          <w:sz w:val="20"/>
          <w:szCs w:val="24"/>
        </w:rPr>
        <w:t xml:space="preserve"> </w:t>
      </w:r>
      <w:r w:rsidR="007B32EA" w:rsidRPr="00B37972">
        <w:rPr>
          <w:rFonts w:ascii="Verdana" w:hAnsi="Verdana"/>
          <w:sz w:val="20"/>
          <w:szCs w:val="24"/>
        </w:rPr>
        <w:t xml:space="preserve">concerning measures taken to implement recommendations provided in the </w:t>
      </w:r>
      <w:r w:rsidR="000D5F3C" w:rsidRPr="00B37972">
        <w:rPr>
          <w:rFonts w:ascii="Verdana" w:hAnsi="Verdana"/>
          <w:sz w:val="20"/>
          <w:szCs w:val="24"/>
        </w:rPr>
        <w:t>A</w:t>
      </w:r>
      <w:r w:rsidR="007B32EA" w:rsidRPr="00B37972">
        <w:rPr>
          <w:rFonts w:ascii="Verdana" w:hAnsi="Verdana"/>
          <w:sz w:val="20"/>
          <w:szCs w:val="24"/>
        </w:rPr>
        <w:t xml:space="preserve">d hoc </w:t>
      </w:r>
      <w:r w:rsidR="000D5F3C" w:rsidRPr="00B37972">
        <w:rPr>
          <w:rFonts w:ascii="Verdana" w:hAnsi="Verdana"/>
          <w:sz w:val="20"/>
          <w:szCs w:val="24"/>
        </w:rPr>
        <w:t>R</w:t>
      </w:r>
      <w:r w:rsidR="007B32EA" w:rsidRPr="00B37972">
        <w:rPr>
          <w:rFonts w:ascii="Verdana" w:hAnsi="Verdana"/>
          <w:sz w:val="20"/>
          <w:szCs w:val="24"/>
        </w:rPr>
        <w:t>eport</w:t>
      </w:r>
      <w:r w:rsidR="007D544A" w:rsidRPr="00B37972">
        <w:rPr>
          <w:rFonts w:ascii="Verdana" w:hAnsi="Verdana"/>
          <w:sz w:val="20"/>
          <w:szCs w:val="24"/>
        </w:rPr>
        <w:t>.</w:t>
      </w:r>
    </w:p>
    <w:p w:rsidR="00D953C6" w:rsidRPr="00B37972" w:rsidRDefault="00D953C6" w:rsidP="00B37972">
      <w:pPr>
        <w:pStyle w:val="Listparagraf"/>
        <w:tabs>
          <w:tab w:val="left" w:pos="567"/>
        </w:tabs>
        <w:suppressAutoHyphens w:val="0"/>
        <w:spacing w:after="0" w:line="240" w:lineRule="auto"/>
        <w:ind w:left="0"/>
        <w:jc w:val="both"/>
        <w:rPr>
          <w:rFonts w:ascii="Verdana" w:hAnsi="Verdana"/>
          <w:sz w:val="20"/>
          <w:szCs w:val="24"/>
        </w:rPr>
      </w:pPr>
    </w:p>
    <w:p w:rsidR="00D12937" w:rsidRPr="00B37972" w:rsidRDefault="00D953C6"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rPr>
        <w:t xml:space="preserve">The present </w:t>
      </w:r>
      <w:r w:rsidR="00417681" w:rsidRPr="00B37972">
        <w:rPr>
          <w:rFonts w:ascii="Verdana" w:hAnsi="Verdana"/>
          <w:sz w:val="20"/>
          <w:szCs w:val="24"/>
        </w:rPr>
        <w:t>Follow-up</w:t>
      </w:r>
      <w:r w:rsidRPr="00B37972">
        <w:rPr>
          <w:rFonts w:ascii="Verdana" w:hAnsi="Verdana"/>
          <w:sz w:val="20"/>
          <w:szCs w:val="24"/>
        </w:rPr>
        <w:t xml:space="preserve"> Report assesses the implementation of </w:t>
      </w:r>
      <w:r w:rsidR="006063A5" w:rsidRPr="00B37972">
        <w:rPr>
          <w:rFonts w:ascii="Verdana" w:hAnsi="Verdana"/>
          <w:sz w:val="20"/>
          <w:szCs w:val="24"/>
        </w:rPr>
        <w:t xml:space="preserve">GRECO’s </w:t>
      </w:r>
      <w:r w:rsidRPr="00B37972">
        <w:rPr>
          <w:rFonts w:ascii="Verdana" w:hAnsi="Verdana"/>
          <w:sz w:val="20"/>
          <w:szCs w:val="24"/>
        </w:rPr>
        <w:t xml:space="preserve">recommendations </w:t>
      </w:r>
      <w:r w:rsidR="006063A5" w:rsidRPr="00B37972">
        <w:rPr>
          <w:rFonts w:ascii="Verdana" w:hAnsi="Verdana"/>
          <w:sz w:val="20"/>
          <w:szCs w:val="24"/>
        </w:rPr>
        <w:t xml:space="preserve">contained in the Ad hoc Report </w:t>
      </w:r>
      <w:r w:rsidRPr="00B37972">
        <w:rPr>
          <w:rFonts w:ascii="Verdana" w:hAnsi="Verdana"/>
          <w:sz w:val="20"/>
          <w:szCs w:val="24"/>
        </w:rPr>
        <w:t xml:space="preserve">and </w:t>
      </w:r>
      <w:r w:rsidR="006063A5" w:rsidRPr="00B37972">
        <w:rPr>
          <w:rFonts w:ascii="Verdana" w:hAnsi="Verdana"/>
          <w:sz w:val="20"/>
          <w:szCs w:val="24"/>
        </w:rPr>
        <w:t xml:space="preserve">provides </w:t>
      </w:r>
      <w:r w:rsidRPr="00B37972">
        <w:rPr>
          <w:rFonts w:ascii="Verdana" w:hAnsi="Verdana"/>
          <w:sz w:val="20"/>
          <w:szCs w:val="24"/>
        </w:rPr>
        <w:t xml:space="preserve">an overall appraisal of Romania’s compliance with these recommendations. The Rapporteurs </w:t>
      </w:r>
      <w:r w:rsidR="004D4480" w:rsidRPr="00B37972">
        <w:rPr>
          <w:rFonts w:ascii="Verdana" w:hAnsi="Verdana"/>
          <w:sz w:val="20"/>
          <w:szCs w:val="24"/>
        </w:rPr>
        <w:t xml:space="preserve">(see above) </w:t>
      </w:r>
      <w:r w:rsidRPr="00B37972">
        <w:rPr>
          <w:rFonts w:ascii="Verdana" w:hAnsi="Verdana"/>
          <w:sz w:val="20"/>
          <w:szCs w:val="24"/>
        </w:rPr>
        <w:t>were assisted by the Secretariat in drawing up this Report.</w:t>
      </w:r>
    </w:p>
    <w:p w:rsidR="002A4BF9" w:rsidRPr="00B37972" w:rsidRDefault="002A4BF9" w:rsidP="00B37972">
      <w:pPr>
        <w:suppressAutoHyphens w:val="0"/>
        <w:spacing w:after="0" w:line="240" w:lineRule="auto"/>
        <w:rPr>
          <w:rFonts w:ascii="Verdana" w:hAnsi="Verdana"/>
          <w:b/>
          <w:sz w:val="20"/>
          <w:szCs w:val="24"/>
        </w:rPr>
      </w:pPr>
    </w:p>
    <w:p w:rsidR="00B37972" w:rsidRPr="00B37972" w:rsidRDefault="00B37972" w:rsidP="00B37972">
      <w:pPr>
        <w:suppressAutoHyphens w:val="0"/>
        <w:spacing w:after="0" w:line="240" w:lineRule="auto"/>
        <w:rPr>
          <w:rFonts w:ascii="Verdana" w:hAnsi="Verdana"/>
          <w:b/>
          <w:sz w:val="20"/>
          <w:szCs w:val="24"/>
        </w:rPr>
      </w:pPr>
      <w:r w:rsidRPr="00B37972">
        <w:rPr>
          <w:rFonts w:ascii="Verdana" w:hAnsi="Verdana"/>
          <w:b/>
          <w:sz w:val="20"/>
          <w:szCs w:val="24"/>
        </w:rPr>
        <w:br w:type="page"/>
      </w:r>
    </w:p>
    <w:p w:rsidR="00D12937" w:rsidRPr="00B37972" w:rsidRDefault="002A4BF9" w:rsidP="00B37972">
      <w:pPr>
        <w:suppressAutoHyphens w:val="0"/>
        <w:spacing w:after="0" w:line="240" w:lineRule="auto"/>
        <w:jc w:val="both"/>
        <w:rPr>
          <w:rFonts w:ascii="Verdana" w:hAnsi="Verdana"/>
          <w:sz w:val="20"/>
          <w:szCs w:val="24"/>
        </w:rPr>
      </w:pPr>
      <w:r w:rsidRPr="00B37972">
        <w:rPr>
          <w:rFonts w:ascii="Verdana" w:hAnsi="Verdana"/>
          <w:b/>
          <w:sz w:val="20"/>
          <w:szCs w:val="24"/>
        </w:rPr>
        <w:lastRenderedPageBreak/>
        <w:t>II.</w:t>
      </w:r>
      <w:r w:rsidRPr="00B37972">
        <w:rPr>
          <w:rFonts w:ascii="Verdana" w:hAnsi="Verdana"/>
          <w:b/>
          <w:sz w:val="20"/>
          <w:szCs w:val="24"/>
        </w:rPr>
        <w:tab/>
      </w:r>
      <w:r w:rsidRPr="00B37972">
        <w:rPr>
          <w:rFonts w:ascii="Verdana" w:hAnsi="Verdana"/>
          <w:b/>
          <w:sz w:val="20"/>
          <w:szCs w:val="24"/>
          <w:u w:val="single"/>
        </w:rPr>
        <w:t>CONTEXT AND BACKGROUND INFORMATION</w:t>
      </w:r>
    </w:p>
    <w:p w:rsidR="00D12937" w:rsidRPr="00B37972" w:rsidRDefault="00D12937" w:rsidP="00B37972">
      <w:pPr>
        <w:suppressAutoHyphens w:val="0"/>
        <w:spacing w:after="0" w:line="240" w:lineRule="auto"/>
        <w:jc w:val="both"/>
        <w:rPr>
          <w:rFonts w:ascii="Verdana" w:hAnsi="Verdana"/>
          <w:sz w:val="20"/>
          <w:szCs w:val="24"/>
        </w:rPr>
      </w:pPr>
    </w:p>
    <w:p w:rsidR="00537C13" w:rsidRPr="00B37972" w:rsidRDefault="00D12937"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rPr>
        <w:t xml:space="preserve">The </w:t>
      </w:r>
      <w:r w:rsidR="00573E12" w:rsidRPr="00B37972">
        <w:rPr>
          <w:rFonts w:ascii="Verdana" w:hAnsi="Verdana"/>
          <w:sz w:val="20"/>
          <w:szCs w:val="24"/>
        </w:rPr>
        <w:t xml:space="preserve">proposed </w:t>
      </w:r>
      <w:r w:rsidRPr="00B37972">
        <w:rPr>
          <w:rFonts w:ascii="Verdana" w:hAnsi="Verdana"/>
          <w:sz w:val="20"/>
          <w:szCs w:val="24"/>
        </w:rPr>
        <w:t xml:space="preserve">legislative amendments </w:t>
      </w:r>
      <w:r w:rsidR="00573E12" w:rsidRPr="00B37972">
        <w:rPr>
          <w:rFonts w:ascii="Verdana" w:hAnsi="Verdana"/>
          <w:sz w:val="20"/>
          <w:szCs w:val="24"/>
        </w:rPr>
        <w:t xml:space="preserve">described above </w:t>
      </w:r>
      <w:r w:rsidR="004D4480" w:rsidRPr="00B37972">
        <w:rPr>
          <w:rFonts w:ascii="Verdana" w:hAnsi="Verdana"/>
          <w:sz w:val="20"/>
          <w:szCs w:val="24"/>
        </w:rPr>
        <w:t>are part of a broader reform process</w:t>
      </w:r>
      <w:r w:rsidRPr="00B37972">
        <w:rPr>
          <w:rFonts w:ascii="Verdana" w:hAnsi="Verdana"/>
          <w:sz w:val="20"/>
          <w:szCs w:val="24"/>
        </w:rPr>
        <w:t>. In parallel to the amendments concerning three justice laws (Law no. 303/2004 on the statu</w:t>
      </w:r>
      <w:r w:rsidR="006A786A" w:rsidRPr="00B37972">
        <w:rPr>
          <w:rFonts w:ascii="Verdana" w:hAnsi="Verdana"/>
          <w:sz w:val="20"/>
          <w:szCs w:val="24"/>
        </w:rPr>
        <w:t>te</w:t>
      </w:r>
      <w:r w:rsidRPr="00B37972">
        <w:rPr>
          <w:rFonts w:ascii="Verdana" w:hAnsi="Verdana"/>
          <w:sz w:val="20"/>
          <w:szCs w:val="24"/>
        </w:rPr>
        <w:t xml:space="preserve"> of judges and prosecutors, Law no. 304/2004 on judicial organisation and Law no. 317/2004 on the Superior Council of Magistracy), a process was initiated to amend the </w:t>
      </w:r>
      <w:r w:rsidR="00D94978" w:rsidRPr="00B37972">
        <w:rPr>
          <w:rFonts w:ascii="Verdana" w:hAnsi="Verdana"/>
          <w:sz w:val="20"/>
          <w:szCs w:val="24"/>
        </w:rPr>
        <w:t>C</w:t>
      </w:r>
      <w:r w:rsidRPr="00B37972">
        <w:rPr>
          <w:rFonts w:ascii="Verdana" w:hAnsi="Verdana"/>
          <w:sz w:val="20"/>
          <w:szCs w:val="24"/>
        </w:rPr>
        <w:t xml:space="preserve">riminal </w:t>
      </w:r>
      <w:r w:rsidR="00D94978" w:rsidRPr="00B37972">
        <w:rPr>
          <w:rFonts w:ascii="Verdana" w:hAnsi="Verdana"/>
          <w:sz w:val="20"/>
          <w:szCs w:val="24"/>
        </w:rPr>
        <w:t>C</w:t>
      </w:r>
      <w:r w:rsidR="00D250A0" w:rsidRPr="00B37972">
        <w:rPr>
          <w:rFonts w:ascii="Verdana" w:hAnsi="Verdana"/>
          <w:sz w:val="20"/>
          <w:szCs w:val="24"/>
        </w:rPr>
        <w:t xml:space="preserve">ode and </w:t>
      </w:r>
      <w:r w:rsidR="00D94978" w:rsidRPr="00B37972">
        <w:rPr>
          <w:rFonts w:ascii="Verdana" w:hAnsi="Verdana"/>
          <w:sz w:val="20"/>
          <w:szCs w:val="24"/>
        </w:rPr>
        <w:t>C</w:t>
      </w:r>
      <w:r w:rsidR="00D250A0" w:rsidRPr="00B37972">
        <w:rPr>
          <w:rFonts w:ascii="Verdana" w:hAnsi="Verdana"/>
          <w:sz w:val="20"/>
          <w:szCs w:val="24"/>
        </w:rPr>
        <w:t xml:space="preserve">riminal </w:t>
      </w:r>
      <w:r w:rsidR="00D94978" w:rsidRPr="00B37972">
        <w:rPr>
          <w:rFonts w:ascii="Verdana" w:hAnsi="Verdana"/>
          <w:sz w:val="20"/>
          <w:szCs w:val="24"/>
        </w:rPr>
        <w:t>P</w:t>
      </w:r>
      <w:r w:rsidRPr="00B37972">
        <w:rPr>
          <w:rFonts w:ascii="Verdana" w:hAnsi="Verdana"/>
          <w:sz w:val="20"/>
          <w:szCs w:val="24"/>
        </w:rPr>
        <w:t>rocedure</w:t>
      </w:r>
      <w:r w:rsidR="00D250A0" w:rsidRPr="00B37972">
        <w:rPr>
          <w:rFonts w:ascii="Verdana" w:hAnsi="Verdana"/>
          <w:sz w:val="20"/>
          <w:szCs w:val="24"/>
        </w:rPr>
        <w:t xml:space="preserve"> </w:t>
      </w:r>
      <w:r w:rsidR="00D94978" w:rsidRPr="00B37972">
        <w:rPr>
          <w:rFonts w:ascii="Verdana" w:hAnsi="Verdana"/>
          <w:sz w:val="20"/>
          <w:szCs w:val="24"/>
        </w:rPr>
        <w:t>C</w:t>
      </w:r>
      <w:r w:rsidR="00D250A0" w:rsidRPr="00B37972">
        <w:rPr>
          <w:rFonts w:ascii="Verdana" w:hAnsi="Verdana"/>
          <w:sz w:val="20"/>
          <w:szCs w:val="24"/>
        </w:rPr>
        <w:t>ode</w:t>
      </w:r>
      <w:r w:rsidRPr="00B37972">
        <w:rPr>
          <w:rFonts w:ascii="Verdana" w:hAnsi="Verdana"/>
          <w:sz w:val="20"/>
          <w:szCs w:val="24"/>
        </w:rPr>
        <w:t xml:space="preserve">. </w:t>
      </w:r>
      <w:r w:rsidR="000A2136" w:rsidRPr="00B37972">
        <w:rPr>
          <w:rFonts w:ascii="Verdana" w:hAnsi="Verdana"/>
          <w:sz w:val="20"/>
          <w:szCs w:val="24"/>
        </w:rPr>
        <w:t xml:space="preserve">Around the same period, </w:t>
      </w:r>
      <w:r w:rsidRPr="00B37972">
        <w:rPr>
          <w:rFonts w:ascii="Verdana" w:hAnsi="Verdana"/>
          <w:sz w:val="20"/>
          <w:szCs w:val="24"/>
        </w:rPr>
        <w:t xml:space="preserve">a further series of three laws were registered in </w:t>
      </w:r>
      <w:r w:rsidR="00573E12" w:rsidRPr="00B37972">
        <w:rPr>
          <w:rFonts w:ascii="Verdana" w:hAnsi="Verdana"/>
          <w:sz w:val="20"/>
          <w:szCs w:val="24"/>
        </w:rPr>
        <w:t xml:space="preserve">Parliament </w:t>
      </w:r>
      <w:r w:rsidRPr="00B37972">
        <w:rPr>
          <w:rFonts w:ascii="Verdana" w:hAnsi="Verdana"/>
          <w:sz w:val="20"/>
          <w:szCs w:val="24"/>
        </w:rPr>
        <w:t xml:space="preserve">which </w:t>
      </w:r>
      <w:r w:rsidR="00573E12" w:rsidRPr="00B37972">
        <w:rPr>
          <w:rFonts w:ascii="Verdana" w:hAnsi="Verdana"/>
          <w:sz w:val="20"/>
          <w:szCs w:val="24"/>
        </w:rPr>
        <w:t>contain</w:t>
      </w:r>
      <w:r w:rsidR="00516CE2" w:rsidRPr="00B37972">
        <w:rPr>
          <w:rFonts w:ascii="Verdana" w:hAnsi="Verdana"/>
          <w:sz w:val="20"/>
          <w:szCs w:val="24"/>
        </w:rPr>
        <w:t>ed</w:t>
      </w:r>
      <w:r w:rsidR="00573E12" w:rsidRPr="00B37972">
        <w:rPr>
          <w:rFonts w:ascii="Verdana" w:hAnsi="Verdana"/>
          <w:sz w:val="20"/>
          <w:szCs w:val="24"/>
        </w:rPr>
        <w:t xml:space="preserve">, </w:t>
      </w:r>
      <w:r w:rsidRPr="00B37972">
        <w:rPr>
          <w:rFonts w:ascii="Verdana" w:hAnsi="Verdana"/>
          <w:i/>
          <w:sz w:val="20"/>
          <w:szCs w:val="24"/>
        </w:rPr>
        <w:t>inter alia</w:t>
      </w:r>
      <w:r w:rsidR="00573E12" w:rsidRPr="00B37972">
        <w:rPr>
          <w:rFonts w:ascii="Verdana" w:hAnsi="Verdana"/>
          <w:i/>
          <w:sz w:val="20"/>
          <w:szCs w:val="24"/>
        </w:rPr>
        <w:t>,</w:t>
      </w:r>
      <w:r w:rsidRPr="00B37972">
        <w:rPr>
          <w:rFonts w:ascii="Verdana" w:hAnsi="Verdana"/>
          <w:sz w:val="20"/>
          <w:szCs w:val="24"/>
        </w:rPr>
        <w:t xml:space="preserve"> amendments to the incriminations of bribery and trading in influence, and </w:t>
      </w:r>
      <w:r w:rsidR="00573E12" w:rsidRPr="00B37972">
        <w:rPr>
          <w:rFonts w:ascii="Verdana" w:hAnsi="Verdana"/>
          <w:sz w:val="20"/>
          <w:szCs w:val="24"/>
        </w:rPr>
        <w:t xml:space="preserve">to </w:t>
      </w:r>
      <w:r w:rsidRPr="00B37972">
        <w:rPr>
          <w:rFonts w:ascii="Verdana" w:hAnsi="Verdana"/>
          <w:sz w:val="20"/>
          <w:szCs w:val="24"/>
        </w:rPr>
        <w:t>the offence of abuse of office</w:t>
      </w:r>
      <w:r w:rsidR="00573E12" w:rsidRPr="00B37972">
        <w:rPr>
          <w:rFonts w:ascii="Verdana" w:hAnsi="Verdana"/>
          <w:sz w:val="20"/>
          <w:szCs w:val="24"/>
        </w:rPr>
        <w:t>, which are relevant to the functioning of the criminal justice system as a whole and its response to corruption specifically</w:t>
      </w:r>
      <w:r w:rsidRPr="00B37972">
        <w:rPr>
          <w:rFonts w:ascii="Verdana" w:hAnsi="Verdana"/>
          <w:sz w:val="20"/>
          <w:szCs w:val="24"/>
        </w:rPr>
        <w:t xml:space="preserve">. These various draft proposals concerning procedural and substantive criminal law </w:t>
      </w:r>
      <w:r w:rsidR="00516CE2" w:rsidRPr="00B37972">
        <w:rPr>
          <w:rFonts w:ascii="Verdana" w:hAnsi="Verdana"/>
          <w:sz w:val="20"/>
          <w:szCs w:val="24"/>
        </w:rPr>
        <w:t xml:space="preserve">were </w:t>
      </w:r>
      <w:r w:rsidRPr="00B37972">
        <w:rPr>
          <w:rFonts w:ascii="Verdana" w:hAnsi="Verdana"/>
          <w:sz w:val="20"/>
          <w:szCs w:val="24"/>
        </w:rPr>
        <w:t>a further source of controversy and concerns</w:t>
      </w:r>
      <w:r w:rsidR="005F673B">
        <w:rPr>
          <w:rFonts w:ascii="Verdana" w:hAnsi="Verdana"/>
          <w:sz w:val="20"/>
          <w:szCs w:val="24"/>
        </w:rPr>
        <w:t xml:space="preserve"> and were withdrawn from the legislative process</w:t>
      </w:r>
      <w:r w:rsidR="00237719">
        <w:rPr>
          <w:rFonts w:ascii="Verdana" w:hAnsi="Verdana"/>
          <w:sz w:val="20"/>
          <w:szCs w:val="24"/>
        </w:rPr>
        <w:t xml:space="preserve"> by the initiators</w:t>
      </w:r>
      <w:r w:rsidRPr="00B37972">
        <w:rPr>
          <w:rFonts w:ascii="Verdana" w:hAnsi="Verdana"/>
          <w:sz w:val="20"/>
          <w:szCs w:val="24"/>
        </w:rPr>
        <w:t>.</w:t>
      </w:r>
      <w:r w:rsidR="005F673B">
        <w:rPr>
          <w:rFonts w:ascii="Verdana" w:hAnsi="Verdana"/>
          <w:sz w:val="20"/>
          <w:szCs w:val="24"/>
        </w:rPr>
        <w:t xml:space="preserve"> However, a new set of amendments to criminal procedural and substantive legislation relevant to combating corruption was adopted by Parliament in </w:t>
      </w:r>
      <w:r w:rsidR="00237719">
        <w:rPr>
          <w:rFonts w:ascii="Verdana" w:hAnsi="Verdana"/>
          <w:sz w:val="20"/>
          <w:szCs w:val="24"/>
        </w:rPr>
        <w:t xml:space="preserve">June and </w:t>
      </w:r>
      <w:r w:rsidR="005F673B">
        <w:rPr>
          <w:rFonts w:ascii="Verdana" w:hAnsi="Verdana"/>
          <w:sz w:val="20"/>
          <w:szCs w:val="24"/>
        </w:rPr>
        <w:t>July 2018, many of which were subsequently challenged</w:t>
      </w:r>
      <w:r w:rsidR="00516CE2" w:rsidRPr="00B37972">
        <w:rPr>
          <w:rFonts w:ascii="Verdana" w:hAnsi="Verdana"/>
          <w:sz w:val="20"/>
          <w:szCs w:val="24"/>
        </w:rPr>
        <w:t xml:space="preserve"> </w:t>
      </w:r>
      <w:r w:rsidR="00237719">
        <w:rPr>
          <w:rFonts w:ascii="Verdana" w:hAnsi="Verdana"/>
          <w:sz w:val="20"/>
          <w:szCs w:val="24"/>
        </w:rPr>
        <w:t xml:space="preserve">before the Constitutional Court. </w:t>
      </w:r>
      <w:r w:rsidR="00B824C3" w:rsidRPr="00B37972">
        <w:rPr>
          <w:rFonts w:ascii="Verdana" w:hAnsi="Verdana"/>
          <w:sz w:val="20"/>
          <w:szCs w:val="24"/>
        </w:rPr>
        <w:t>In its Opinion of 20 October 2018</w:t>
      </w:r>
      <w:r w:rsidR="00B824C3" w:rsidRPr="00B37972">
        <w:rPr>
          <w:rStyle w:val="Referinnotdesubsol"/>
          <w:rFonts w:ascii="Verdana" w:hAnsi="Verdana"/>
          <w:sz w:val="20"/>
          <w:szCs w:val="24"/>
        </w:rPr>
        <w:footnoteReference w:id="3"/>
      </w:r>
      <w:r w:rsidR="00B824C3" w:rsidRPr="00B37972">
        <w:rPr>
          <w:rFonts w:ascii="Verdana" w:hAnsi="Verdana"/>
          <w:sz w:val="20"/>
          <w:szCs w:val="24"/>
        </w:rPr>
        <w:t xml:space="preserve"> on the amendments to Criminal Code and Criminal Procedure Code, the </w:t>
      </w:r>
      <w:r w:rsidR="00516CE2" w:rsidRPr="00B37972">
        <w:rPr>
          <w:rFonts w:ascii="Verdana" w:hAnsi="Verdana"/>
          <w:sz w:val="20"/>
          <w:szCs w:val="24"/>
        </w:rPr>
        <w:t xml:space="preserve">Venice Commission </w:t>
      </w:r>
      <w:r w:rsidR="00B824C3" w:rsidRPr="00B37972">
        <w:rPr>
          <w:rFonts w:ascii="Verdana" w:hAnsi="Verdana"/>
          <w:sz w:val="20"/>
          <w:szCs w:val="24"/>
        </w:rPr>
        <w:t xml:space="preserve">expressed concern that, </w:t>
      </w:r>
      <w:r w:rsidR="00B824C3" w:rsidRPr="00B37972">
        <w:rPr>
          <w:rFonts w:ascii="Verdana" w:hAnsi="Verdana"/>
          <w:i/>
          <w:sz w:val="20"/>
          <w:szCs w:val="24"/>
        </w:rPr>
        <w:t>“taken separately, but especially in view of their cumulative effect, many amendments will seriously impair the effectiveness of the Romanian criminal justice system in the fight against various forms of crime, including corruption-related offences</w:t>
      </w:r>
      <w:r w:rsidR="00D94978" w:rsidRPr="00B37972">
        <w:rPr>
          <w:rFonts w:ascii="Verdana" w:hAnsi="Verdana"/>
          <w:i/>
          <w:sz w:val="20"/>
          <w:szCs w:val="24"/>
        </w:rPr>
        <w:t>…”</w:t>
      </w:r>
      <w:r w:rsidR="005E6C67" w:rsidRPr="00B37972">
        <w:rPr>
          <w:rFonts w:ascii="Verdana" w:hAnsi="Verdana"/>
          <w:i/>
          <w:sz w:val="20"/>
          <w:szCs w:val="24"/>
        </w:rPr>
        <w:t>.</w:t>
      </w:r>
    </w:p>
    <w:p w:rsidR="00537C13" w:rsidRPr="00B37972" w:rsidRDefault="00537C13" w:rsidP="00B37972">
      <w:pPr>
        <w:pStyle w:val="Listparagraf"/>
        <w:tabs>
          <w:tab w:val="left" w:pos="567"/>
        </w:tabs>
        <w:suppressAutoHyphens w:val="0"/>
        <w:spacing w:after="0" w:line="240" w:lineRule="auto"/>
        <w:ind w:left="0"/>
        <w:jc w:val="both"/>
        <w:rPr>
          <w:rFonts w:ascii="Verdana" w:hAnsi="Verdana"/>
          <w:sz w:val="20"/>
          <w:szCs w:val="24"/>
        </w:rPr>
      </w:pPr>
    </w:p>
    <w:p w:rsidR="00375BCA" w:rsidRPr="00B37972" w:rsidRDefault="00B824C3"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rPr>
        <w:t>GRECO</w:t>
      </w:r>
      <w:r w:rsidR="00B31EBF" w:rsidRPr="00B37972">
        <w:rPr>
          <w:rFonts w:ascii="Verdana" w:hAnsi="Verdana"/>
          <w:sz w:val="20"/>
          <w:szCs w:val="24"/>
        </w:rPr>
        <w:t xml:space="preserve"> </w:t>
      </w:r>
      <w:r w:rsidR="00D94978" w:rsidRPr="00B37972">
        <w:rPr>
          <w:rFonts w:ascii="Verdana" w:hAnsi="Verdana"/>
          <w:sz w:val="20"/>
          <w:szCs w:val="24"/>
        </w:rPr>
        <w:t xml:space="preserve">is also aware that </w:t>
      </w:r>
      <w:r w:rsidR="00B31EBF" w:rsidRPr="00B37972">
        <w:rPr>
          <w:rFonts w:ascii="Verdana" w:hAnsi="Verdana"/>
          <w:sz w:val="20"/>
          <w:szCs w:val="24"/>
        </w:rPr>
        <w:t>further amendments to substantive and procedural criminal legislation, with potential consequences on combating corruption</w:t>
      </w:r>
      <w:r w:rsidR="004D59C4" w:rsidRPr="00B37972">
        <w:rPr>
          <w:rFonts w:ascii="Verdana" w:hAnsi="Verdana"/>
          <w:sz w:val="20"/>
          <w:szCs w:val="24"/>
        </w:rPr>
        <w:t>,</w:t>
      </w:r>
      <w:r w:rsidR="00B31EBF" w:rsidRPr="00B37972">
        <w:rPr>
          <w:rFonts w:ascii="Verdana" w:hAnsi="Verdana"/>
          <w:sz w:val="20"/>
          <w:szCs w:val="24"/>
        </w:rPr>
        <w:t xml:space="preserve"> have been adopted by the Romanian Parliament </w:t>
      </w:r>
      <w:r w:rsidR="00237719">
        <w:rPr>
          <w:rFonts w:ascii="Verdana" w:hAnsi="Verdana"/>
          <w:sz w:val="20"/>
          <w:szCs w:val="24"/>
        </w:rPr>
        <w:t xml:space="preserve">on 24 </w:t>
      </w:r>
      <w:r w:rsidR="00B31EBF" w:rsidRPr="00B37972">
        <w:rPr>
          <w:rFonts w:ascii="Verdana" w:hAnsi="Verdana"/>
          <w:sz w:val="20"/>
          <w:szCs w:val="24"/>
        </w:rPr>
        <w:t>April 2019.</w:t>
      </w:r>
      <w:r w:rsidR="00237719">
        <w:rPr>
          <w:rFonts w:ascii="Verdana" w:hAnsi="Verdana"/>
          <w:sz w:val="20"/>
          <w:szCs w:val="24"/>
        </w:rPr>
        <w:t xml:space="preserve"> Just as previous amendments, these were also challenged before the Constitutional Court and are currently under judicial review.</w:t>
      </w:r>
      <w:r w:rsidR="00B31EBF" w:rsidRPr="00B37972">
        <w:rPr>
          <w:rFonts w:ascii="Verdana" w:hAnsi="Verdana"/>
          <w:sz w:val="20"/>
          <w:szCs w:val="24"/>
        </w:rPr>
        <w:t xml:space="preserve"> </w:t>
      </w:r>
      <w:r w:rsidR="00D94978" w:rsidRPr="00B37972">
        <w:rPr>
          <w:rFonts w:ascii="Verdana" w:hAnsi="Verdana"/>
          <w:sz w:val="20"/>
          <w:szCs w:val="24"/>
        </w:rPr>
        <w:t xml:space="preserve">In addition, </w:t>
      </w:r>
      <w:r w:rsidR="00114036" w:rsidRPr="00B37972">
        <w:rPr>
          <w:rFonts w:ascii="Verdana" w:hAnsi="Verdana"/>
          <w:sz w:val="20"/>
          <w:szCs w:val="24"/>
        </w:rPr>
        <w:t>GRECO notes that a public referendum</w:t>
      </w:r>
      <w:r w:rsidR="00763C94" w:rsidRPr="00B37972">
        <w:rPr>
          <w:rStyle w:val="Referinnotdesubsol"/>
          <w:rFonts w:ascii="Verdana" w:hAnsi="Verdana"/>
          <w:sz w:val="20"/>
          <w:szCs w:val="24"/>
        </w:rPr>
        <w:footnoteReference w:id="4"/>
      </w:r>
      <w:r w:rsidR="00114036" w:rsidRPr="00B37972">
        <w:rPr>
          <w:rFonts w:ascii="Verdana" w:hAnsi="Verdana"/>
          <w:sz w:val="20"/>
          <w:szCs w:val="24"/>
        </w:rPr>
        <w:t xml:space="preserve"> was held on 26 May 2019</w:t>
      </w:r>
      <w:r w:rsidR="00D94978" w:rsidRPr="00B37972">
        <w:rPr>
          <w:rFonts w:ascii="Verdana" w:hAnsi="Verdana"/>
          <w:sz w:val="20"/>
          <w:szCs w:val="24"/>
        </w:rPr>
        <w:t xml:space="preserve"> in Romania</w:t>
      </w:r>
      <w:r w:rsidR="00114036" w:rsidRPr="00B37972">
        <w:rPr>
          <w:rFonts w:ascii="Verdana" w:hAnsi="Verdana"/>
          <w:sz w:val="20"/>
          <w:szCs w:val="24"/>
        </w:rPr>
        <w:t xml:space="preserve">, with the following </w:t>
      </w:r>
      <w:r w:rsidR="00A54EBF" w:rsidRPr="00B37972">
        <w:rPr>
          <w:rFonts w:ascii="Verdana" w:hAnsi="Verdana"/>
          <w:sz w:val="20"/>
          <w:szCs w:val="24"/>
        </w:rPr>
        <w:t xml:space="preserve">two </w:t>
      </w:r>
      <w:r w:rsidR="00114036" w:rsidRPr="00B37972">
        <w:rPr>
          <w:rFonts w:ascii="Verdana" w:hAnsi="Verdana"/>
          <w:sz w:val="20"/>
          <w:szCs w:val="24"/>
        </w:rPr>
        <w:t xml:space="preserve">questions put to </w:t>
      </w:r>
      <w:r w:rsidR="00A54EBF" w:rsidRPr="00B37972">
        <w:rPr>
          <w:rFonts w:ascii="Verdana" w:hAnsi="Verdana"/>
          <w:sz w:val="20"/>
          <w:szCs w:val="24"/>
        </w:rPr>
        <w:t xml:space="preserve">the </w:t>
      </w:r>
      <w:r w:rsidR="00114036" w:rsidRPr="00B37972">
        <w:rPr>
          <w:rFonts w:ascii="Verdana" w:hAnsi="Verdana"/>
          <w:sz w:val="20"/>
          <w:szCs w:val="24"/>
        </w:rPr>
        <w:t xml:space="preserve">vote: </w:t>
      </w:r>
      <w:r w:rsidR="00537C13" w:rsidRPr="00B37972">
        <w:rPr>
          <w:rFonts w:ascii="Verdana" w:hAnsi="Verdana"/>
          <w:i/>
          <w:sz w:val="20"/>
          <w:szCs w:val="24"/>
        </w:rPr>
        <w:t>“</w:t>
      </w:r>
      <w:r w:rsidR="00114036" w:rsidRPr="00B37972">
        <w:rPr>
          <w:rFonts w:ascii="Verdana" w:hAnsi="Verdana"/>
          <w:bCs/>
          <w:i/>
          <w:sz w:val="20"/>
          <w:szCs w:val="24"/>
          <w:u w:val="single"/>
        </w:rPr>
        <w:t xml:space="preserve">1. Do you agree with banning amnesty and pardon for corruption offenses? </w:t>
      </w:r>
      <w:r w:rsidR="00114036" w:rsidRPr="00B37972">
        <w:rPr>
          <w:rFonts w:ascii="Verdana" w:hAnsi="Verdana"/>
          <w:i/>
          <w:sz w:val="20"/>
          <w:szCs w:val="24"/>
          <w:u w:val="single"/>
        </w:rPr>
        <w:t xml:space="preserve">2. </w:t>
      </w:r>
      <w:r w:rsidR="00114036" w:rsidRPr="00B37972">
        <w:rPr>
          <w:rFonts w:ascii="Verdana" w:hAnsi="Verdana"/>
          <w:bCs/>
          <w:i/>
          <w:sz w:val="20"/>
          <w:szCs w:val="24"/>
          <w:u w:val="single"/>
        </w:rPr>
        <w:t>Do you agree with banning the adoption by the Government of emergency ordinances in the area of crimes, punishments and judiciary organization, and with extending the right to challenge ordinances directly at the Constitutional Court?</w:t>
      </w:r>
      <w:r w:rsidR="00537C13" w:rsidRPr="00B37972">
        <w:rPr>
          <w:rFonts w:ascii="Verdana" w:hAnsi="Verdana"/>
          <w:bCs/>
          <w:i/>
          <w:sz w:val="20"/>
          <w:szCs w:val="24"/>
        </w:rPr>
        <w:t>”</w:t>
      </w:r>
      <w:r w:rsidR="00537C13" w:rsidRPr="00B37972">
        <w:rPr>
          <w:rFonts w:ascii="Verdana" w:hAnsi="Verdana"/>
          <w:bCs/>
          <w:sz w:val="20"/>
          <w:szCs w:val="24"/>
        </w:rPr>
        <w:t xml:space="preserve"> </w:t>
      </w:r>
      <w:r w:rsidR="0090193A" w:rsidRPr="00B37972">
        <w:rPr>
          <w:rFonts w:ascii="Verdana" w:hAnsi="Verdana"/>
          <w:bCs/>
          <w:sz w:val="20"/>
          <w:szCs w:val="24"/>
        </w:rPr>
        <w:t>An absolute majority of voters</w:t>
      </w:r>
      <w:r w:rsidR="00763C94" w:rsidRPr="00B37972">
        <w:rPr>
          <w:rFonts w:ascii="Verdana" w:hAnsi="Verdana"/>
          <w:bCs/>
          <w:sz w:val="20"/>
          <w:szCs w:val="24"/>
        </w:rPr>
        <w:t xml:space="preserve"> (84%) </w:t>
      </w:r>
      <w:r w:rsidR="0090193A" w:rsidRPr="00B37972">
        <w:rPr>
          <w:rFonts w:ascii="Verdana" w:hAnsi="Verdana"/>
          <w:bCs/>
          <w:sz w:val="20"/>
          <w:szCs w:val="24"/>
        </w:rPr>
        <w:t>answered in the affirmative to these two questions.</w:t>
      </w:r>
      <w:r w:rsidR="0090193A" w:rsidRPr="00B37972">
        <w:rPr>
          <w:rStyle w:val="Referinnotdesubsol"/>
          <w:rFonts w:ascii="Verdana" w:hAnsi="Verdana"/>
          <w:bCs/>
          <w:sz w:val="20"/>
          <w:szCs w:val="24"/>
        </w:rPr>
        <w:footnoteReference w:id="5"/>
      </w:r>
      <w:r w:rsidR="0090193A" w:rsidRPr="00B37972">
        <w:rPr>
          <w:rFonts w:ascii="Verdana" w:hAnsi="Verdana"/>
          <w:bCs/>
          <w:sz w:val="20"/>
          <w:szCs w:val="24"/>
        </w:rPr>
        <w:t xml:space="preserve"> Although </w:t>
      </w:r>
      <w:r w:rsidR="00537C13" w:rsidRPr="00B37972">
        <w:rPr>
          <w:rFonts w:ascii="Verdana" w:hAnsi="Verdana"/>
          <w:bCs/>
          <w:sz w:val="20"/>
          <w:szCs w:val="24"/>
        </w:rPr>
        <w:t>the above issues are not subject</w:t>
      </w:r>
      <w:r w:rsidR="00A54EBF" w:rsidRPr="00B37972">
        <w:rPr>
          <w:rFonts w:ascii="Verdana" w:hAnsi="Verdana"/>
          <w:bCs/>
          <w:sz w:val="20"/>
          <w:szCs w:val="24"/>
        </w:rPr>
        <w:t>s</w:t>
      </w:r>
      <w:r w:rsidR="00537C13" w:rsidRPr="00B37972">
        <w:rPr>
          <w:rFonts w:ascii="Verdana" w:hAnsi="Verdana"/>
          <w:bCs/>
          <w:sz w:val="20"/>
          <w:szCs w:val="24"/>
        </w:rPr>
        <w:t xml:space="preserve"> of the present Report, GRECO will continue to closely follow developments regarding the anti-corruption legislation in Romania with </w:t>
      </w:r>
      <w:r w:rsidR="00A54EBF" w:rsidRPr="00B37972">
        <w:rPr>
          <w:rFonts w:ascii="Verdana" w:hAnsi="Verdana"/>
          <w:bCs/>
          <w:sz w:val="20"/>
          <w:szCs w:val="24"/>
        </w:rPr>
        <w:t>a</w:t>
      </w:r>
      <w:r w:rsidR="00537C13" w:rsidRPr="00B37972">
        <w:rPr>
          <w:rFonts w:ascii="Verdana" w:hAnsi="Verdana"/>
          <w:bCs/>
          <w:sz w:val="20"/>
          <w:szCs w:val="24"/>
        </w:rPr>
        <w:t xml:space="preserve"> view to safeguarding the Council of Europe standards in this respect.</w:t>
      </w:r>
    </w:p>
    <w:p w:rsidR="0064519F" w:rsidRPr="00B37972" w:rsidRDefault="0064519F" w:rsidP="00B37972">
      <w:pPr>
        <w:suppressAutoHyphens w:val="0"/>
        <w:spacing w:after="0" w:line="240" w:lineRule="auto"/>
        <w:jc w:val="both"/>
        <w:rPr>
          <w:rFonts w:ascii="Verdana" w:hAnsi="Verdana"/>
          <w:sz w:val="20"/>
          <w:szCs w:val="24"/>
        </w:rPr>
      </w:pPr>
    </w:p>
    <w:p w:rsidR="00D12937" w:rsidRPr="00B37972" w:rsidRDefault="00D12937" w:rsidP="00B37972">
      <w:pPr>
        <w:suppressAutoHyphens w:val="0"/>
        <w:spacing w:after="0" w:line="240" w:lineRule="auto"/>
        <w:jc w:val="both"/>
        <w:rPr>
          <w:rFonts w:ascii="Verdana" w:eastAsiaTheme="minorHAnsi" w:hAnsi="Verdana" w:cstheme="minorBidi"/>
          <w:iCs/>
          <w:sz w:val="20"/>
          <w:szCs w:val="24"/>
          <w:u w:val="single"/>
          <w:lang w:eastAsia="en-US"/>
        </w:rPr>
      </w:pPr>
      <w:r w:rsidRPr="00B37972">
        <w:rPr>
          <w:rFonts w:ascii="Verdana" w:eastAsiaTheme="minorHAnsi" w:hAnsi="Verdana" w:cstheme="minorBidi"/>
          <w:iCs/>
          <w:sz w:val="20"/>
          <w:szCs w:val="24"/>
          <w:u w:val="single"/>
          <w:lang w:eastAsia="en-US"/>
        </w:rPr>
        <w:t>The legislative process concerning the three laws on the judiciary</w:t>
      </w:r>
      <w:r w:rsidR="007B4810" w:rsidRPr="00B37972">
        <w:rPr>
          <w:rFonts w:ascii="Verdana" w:eastAsiaTheme="minorHAnsi" w:hAnsi="Verdana" w:cstheme="minorBidi"/>
          <w:iCs/>
          <w:sz w:val="20"/>
          <w:szCs w:val="24"/>
          <w:u w:val="single"/>
          <w:lang w:eastAsia="en-US"/>
        </w:rPr>
        <w:t xml:space="preserve"> and other amendments</w:t>
      </w:r>
    </w:p>
    <w:p w:rsidR="00D12937" w:rsidRPr="00B37972" w:rsidRDefault="00D12937" w:rsidP="00B37972">
      <w:pPr>
        <w:suppressAutoHyphens w:val="0"/>
        <w:spacing w:after="0" w:line="240" w:lineRule="auto"/>
        <w:jc w:val="both"/>
        <w:rPr>
          <w:rFonts w:ascii="Verdana" w:hAnsi="Verdana"/>
          <w:i/>
          <w:sz w:val="20"/>
          <w:szCs w:val="24"/>
        </w:rPr>
      </w:pPr>
    </w:p>
    <w:p w:rsidR="00D12937" w:rsidRPr="00B37972" w:rsidRDefault="00D12937"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rPr>
        <w:t>In 2015 and 2016, a series of consultations were held with bodies representing the judges and prosecutors of Romania, including the Supreme Council of Magistracy (</w:t>
      </w:r>
      <w:r w:rsidR="00776970" w:rsidRPr="00B37972">
        <w:rPr>
          <w:rFonts w:ascii="Verdana" w:hAnsi="Verdana"/>
          <w:sz w:val="20"/>
          <w:szCs w:val="24"/>
        </w:rPr>
        <w:t>SCM</w:t>
      </w:r>
      <w:r w:rsidRPr="00B37972">
        <w:rPr>
          <w:rFonts w:ascii="Verdana" w:hAnsi="Verdana"/>
          <w:sz w:val="20"/>
          <w:szCs w:val="24"/>
        </w:rPr>
        <w:t>)</w:t>
      </w:r>
      <w:r w:rsidR="001A7539" w:rsidRPr="00B37972">
        <w:rPr>
          <w:rFonts w:ascii="Verdana" w:hAnsi="Verdana"/>
          <w:sz w:val="20"/>
          <w:szCs w:val="24"/>
        </w:rPr>
        <w:t xml:space="preserve"> on various judicial reform initiatives</w:t>
      </w:r>
      <w:r w:rsidRPr="00B37972">
        <w:rPr>
          <w:rFonts w:ascii="Verdana" w:hAnsi="Verdana"/>
          <w:sz w:val="20"/>
          <w:szCs w:val="24"/>
        </w:rPr>
        <w:t xml:space="preserve">. </w:t>
      </w:r>
      <w:r w:rsidR="00237719">
        <w:rPr>
          <w:rFonts w:ascii="Verdana" w:hAnsi="Verdana"/>
          <w:sz w:val="20"/>
          <w:szCs w:val="24"/>
        </w:rPr>
        <w:t xml:space="preserve">On 31 October 2017, a group of 10 MPs </w:t>
      </w:r>
      <w:r w:rsidR="00E7376A">
        <w:rPr>
          <w:rFonts w:ascii="Verdana" w:hAnsi="Verdana"/>
          <w:sz w:val="20"/>
          <w:szCs w:val="24"/>
        </w:rPr>
        <w:t>submitted to the Chamber of Deputies</w:t>
      </w:r>
      <w:r w:rsidR="00237719">
        <w:rPr>
          <w:rFonts w:ascii="Verdana" w:hAnsi="Verdana"/>
          <w:sz w:val="20"/>
          <w:szCs w:val="24"/>
        </w:rPr>
        <w:t xml:space="preserve"> </w:t>
      </w:r>
      <w:r w:rsidRPr="00B37972">
        <w:rPr>
          <w:rFonts w:ascii="Verdana" w:hAnsi="Verdana"/>
          <w:sz w:val="20"/>
          <w:szCs w:val="24"/>
        </w:rPr>
        <w:t xml:space="preserve">a </w:t>
      </w:r>
      <w:r w:rsidRPr="00B37972">
        <w:rPr>
          <w:rFonts w:ascii="Verdana" w:hAnsi="Verdana"/>
          <w:i/>
          <w:sz w:val="20"/>
          <w:szCs w:val="24"/>
        </w:rPr>
        <w:t>Draft law amending and supplementing Law no. 303/2004 on the statu</w:t>
      </w:r>
      <w:r w:rsidR="006A786A" w:rsidRPr="00B37972">
        <w:rPr>
          <w:rFonts w:ascii="Verdana" w:hAnsi="Verdana"/>
          <w:i/>
          <w:sz w:val="20"/>
          <w:szCs w:val="24"/>
        </w:rPr>
        <w:t>te</w:t>
      </w:r>
      <w:r w:rsidRPr="00B37972">
        <w:rPr>
          <w:rFonts w:ascii="Verdana" w:hAnsi="Verdana"/>
          <w:i/>
          <w:sz w:val="20"/>
          <w:szCs w:val="24"/>
        </w:rPr>
        <w:t xml:space="preserve"> of judges and prosecutors, Law no. 304/2004 on judicial organisation and Law no. 317/2004 on the Superior Council of Magistracy</w:t>
      </w:r>
      <w:r w:rsidR="001A7539" w:rsidRPr="00B37972">
        <w:rPr>
          <w:rFonts w:ascii="Verdana" w:hAnsi="Verdana"/>
          <w:sz w:val="20"/>
          <w:szCs w:val="24"/>
        </w:rPr>
        <w:t xml:space="preserve"> (the</w:t>
      </w:r>
      <w:r w:rsidR="0090375A" w:rsidRPr="00B37972">
        <w:rPr>
          <w:rFonts w:ascii="Verdana" w:hAnsi="Verdana"/>
          <w:sz w:val="20"/>
          <w:szCs w:val="24"/>
        </w:rPr>
        <w:t xml:space="preserve"> “</w:t>
      </w:r>
      <w:r w:rsidR="001A7539" w:rsidRPr="00B37972">
        <w:rPr>
          <w:rFonts w:ascii="Verdana" w:hAnsi="Verdana"/>
          <w:sz w:val="20"/>
          <w:szCs w:val="24"/>
        </w:rPr>
        <w:t>draft Law”)</w:t>
      </w:r>
      <w:r w:rsidRPr="00B37972">
        <w:rPr>
          <w:rFonts w:ascii="Verdana" w:hAnsi="Verdana"/>
          <w:sz w:val="20"/>
          <w:szCs w:val="24"/>
        </w:rPr>
        <w:t>.</w:t>
      </w:r>
      <w:r w:rsidR="00946203" w:rsidRPr="00B37972">
        <w:rPr>
          <w:rFonts w:ascii="Verdana" w:hAnsi="Verdana"/>
          <w:sz w:val="20"/>
          <w:szCs w:val="24"/>
        </w:rPr>
        <w:t xml:space="preserve"> </w:t>
      </w:r>
      <w:r w:rsidRPr="00B37972">
        <w:rPr>
          <w:rFonts w:ascii="Verdana" w:hAnsi="Verdana"/>
          <w:sz w:val="20"/>
          <w:szCs w:val="24"/>
        </w:rPr>
        <w:t>On 13 November</w:t>
      </w:r>
      <w:r w:rsidR="00D250A0" w:rsidRPr="00B37972">
        <w:rPr>
          <w:rFonts w:ascii="Verdana" w:hAnsi="Verdana"/>
          <w:sz w:val="20"/>
          <w:szCs w:val="24"/>
        </w:rPr>
        <w:t xml:space="preserve"> 2017</w:t>
      </w:r>
      <w:r w:rsidRPr="00B37972">
        <w:rPr>
          <w:rFonts w:ascii="Verdana" w:hAnsi="Verdana"/>
          <w:sz w:val="20"/>
          <w:szCs w:val="24"/>
        </w:rPr>
        <w:t xml:space="preserve">, the three </w:t>
      </w:r>
      <w:r w:rsidR="00E567A9" w:rsidRPr="00B37972">
        <w:rPr>
          <w:rFonts w:ascii="Verdana" w:hAnsi="Verdana"/>
          <w:sz w:val="20"/>
          <w:szCs w:val="24"/>
        </w:rPr>
        <w:t xml:space="preserve">draft Laws </w:t>
      </w:r>
      <w:r w:rsidRPr="00B37972">
        <w:rPr>
          <w:rFonts w:ascii="Verdana" w:hAnsi="Verdana"/>
          <w:sz w:val="20"/>
          <w:szCs w:val="24"/>
        </w:rPr>
        <w:t xml:space="preserve">were transmitted to the special </w:t>
      </w:r>
      <w:r w:rsidR="00E7376A">
        <w:rPr>
          <w:rFonts w:ascii="Verdana" w:hAnsi="Verdana"/>
          <w:sz w:val="20"/>
          <w:szCs w:val="24"/>
        </w:rPr>
        <w:t xml:space="preserve">parliamentary </w:t>
      </w:r>
      <w:r w:rsidRPr="00B37972">
        <w:rPr>
          <w:rFonts w:ascii="Verdana" w:hAnsi="Verdana"/>
          <w:sz w:val="20"/>
          <w:szCs w:val="24"/>
        </w:rPr>
        <w:t xml:space="preserve">committee with a deadline of 20 November </w:t>
      </w:r>
      <w:r w:rsidR="00D250A0" w:rsidRPr="00B37972">
        <w:rPr>
          <w:rFonts w:ascii="Verdana" w:hAnsi="Verdana"/>
          <w:sz w:val="20"/>
          <w:szCs w:val="24"/>
        </w:rPr>
        <w:t xml:space="preserve">2017 </w:t>
      </w:r>
      <w:r w:rsidRPr="00B37972">
        <w:rPr>
          <w:rFonts w:ascii="Verdana" w:hAnsi="Verdana"/>
          <w:sz w:val="20"/>
          <w:szCs w:val="24"/>
        </w:rPr>
        <w:t xml:space="preserve">for the formal submission of revised drafts, and of 27 November </w:t>
      </w:r>
      <w:r w:rsidR="00D250A0" w:rsidRPr="00B37972">
        <w:rPr>
          <w:rFonts w:ascii="Verdana" w:hAnsi="Verdana"/>
          <w:sz w:val="20"/>
          <w:szCs w:val="24"/>
        </w:rPr>
        <w:t xml:space="preserve">2017 </w:t>
      </w:r>
      <w:r w:rsidRPr="00B37972">
        <w:rPr>
          <w:rFonts w:ascii="Verdana" w:hAnsi="Verdana"/>
          <w:sz w:val="20"/>
          <w:szCs w:val="24"/>
        </w:rPr>
        <w:t xml:space="preserve">for the submission of a final report. During the first half of December 2017, the special committee finalised its reports (one or two pages in text format, the rest in </w:t>
      </w:r>
      <w:r w:rsidR="005C7A5A" w:rsidRPr="00B37972">
        <w:rPr>
          <w:rFonts w:ascii="Verdana" w:hAnsi="Verdana"/>
          <w:sz w:val="20"/>
          <w:szCs w:val="24"/>
        </w:rPr>
        <w:t xml:space="preserve">the </w:t>
      </w:r>
      <w:r w:rsidRPr="00B37972">
        <w:rPr>
          <w:rFonts w:ascii="Verdana" w:hAnsi="Verdana"/>
          <w:sz w:val="20"/>
          <w:szCs w:val="24"/>
        </w:rPr>
        <w:t xml:space="preserve">form of a table). The three bills were subsequently adopted by the Chamber on 11-13 December </w:t>
      </w:r>
      <w:r w:rsidR="00D250A0" w:rsidRPr="00B37972">
        <w:rPr>
          <w:rFonts w:ascii="Verdana" w:hAnsi="Verdana"/>
          <w:sz w:val="20"/>
          <w:szCs w:val="24"/>
        </w:rPr>
        <w:t xml:space="preserve">2017 </w:t>
      </w:r>
      <w:r w:rsidRPr="00B37972">
        <w:rPr>
          <w:rFonts w:ascii="Verdana" w:hAnsi="Verdana"/>
          <w:sz w:val="20"/>
          <w:szCs w:val="24"/>
        </w:rPr>
        <w:t>and by the Senate on 19-2</w:t>
      </w:r>
      <w:r w:rsidR="006B5098" w:rsidRPr="00B37972">
        <w:rPr>
          <w:rFonts w:ascii="Verdana" w:hAnsi="Verdana"/>
          <w:sz w:val="20"/>
          <w:szCs w:val="24"/>
        </w:rPr>
        <w:t>1</w:t>
      </w:r>
      <w:r w:rsidRPr="00B37972">
        <w:rPr>
          <w:rFonts w:ascii="Verdana" w:hAnsi="Verdana"/>
          <w:sz w:val="20"/>
          <w:szCs w:val="24"/>
        </w:rPr>
        <w:t xml:space="preserve"> December</w:t>
      </w:r>
      <w:r w:rsidR="00D250A0" w:rsidRPr="00B37972">
        <w:rPr>
          <w:rFonts w:ascii="Verdana" w:hAnsi="Verdana"/>
          <w:sz w:val="20"/>
          <w:szCs w:val="24"/>
        </w:rPr>
        <w:t xml:space="preserve"> 2017</w:t>
      </w:r>
      <w:r w:rsidRPr="00B37972">
        <w:rPr>
          <w:rFonts w:ascii="Verdana" w:hAnsi="Verdana"/>
          <w:sz w:val="20"/>
          <w:szCs w:val="24"/>
        </w:rPr>
        <w:t>.</w:t>
      </w:r>
      <w:r w:rsidR="00946203" w:rsidRPr="00B37972">
        <w:rPr>
          <w:rFonts w:ascii="Verdana" w:hAnsi="Verdana"/>
          <w:sz w:val="20"/>
          <w:szCs w:val="24"/>
        </w:rPr>
        <w:t xml:space="preserve"> </w:t>
      </w:r>
      <w:r w:rsidR="00E567A9" w:rsidRPr="00B37972">
        <w:rPr>
          <w:rFonts w:ascii="Verdana" w:hAnsi="Verdana"/>
          <w:sz w:val="20"/>
          <w:szCs w:val="24"/>
        </w:rPr>
        <w:t xml:space="preserve">Large </w:t>
      </w:r>
      <w:r w:rsidRPr="00B37972">
        <w:rPr>
          <w:rFonts w:ascii="Verdana" w:hAnsi="Verdana"/>
          <w:sz w:val="20"/>
          <w:szCs w:val="24"/>
        </w:rPr>
        <w:t xml:space="preserve">public protests took </w:t>
      </w:r>
      <w:r w:rsidRPr="00B37972">
        <w:rPr>
          <w:rFonts w:ascii="Verdana" w:hAnsi="Verdana"/>
          <w:sz w:val="20"/>
          <w:szCs w:val="24"/>
        </w:rPr>
        <w:lastRenderedPageBreak/>
        <w:t xml:space="preserve">place during that period followed by public statements issued by foreign embassies on 27 November and 21 December </w:t>
      </w:r>
      <w:r w:rsidR="00417681" w:rsidRPr="00B37972">
        <w:rPr>
          <w:rFonts w:ascii="Verdana" w:hAnsi="Verdana"/>
          <w:sz w:val="20"/>
          <w:szCs w:val="24"/>
        </w:rPr>
        <w:t xml:space="preserve">2017 </w:t>
      </w:r>
      <w:r w:rsidRPr="00B37972">
        <w:rPr>
          <w:rFonts w:ascii="Verdana" w:hAnsi="Verdana"/>
          <w:sz w:val="20"/>
          <w:szCs w:val="24"/>
        </w:rPr>
        <w:t xml:space="preserve">calling on </w:t>
      </w:r>
      <w:r w:rsidRPr="00B37972">
        <w:rPr>
          <w:rFonts w:ascii="Verdana" w:hAnsi="Verdana"/>
          <w:i/>
          <w:sz w:val="20"/>
          <w:szCs w:val="24"/>
        </w:rPr>
        <w:t>“actors involved in the judicial reform project to refrain from any action resulting in a weakening of the independence of the judiciary and of the fight against corruption, and to seek without delay the necessary advice of the Venice Commission</w:t>
      </w:r>
      <w:r w:rsidR="00417681" w:rsidRPr="00B37972">
        <w:rPr>
          <w:rFonts w:ascii="Verdana" w:hAnsi="Verdana"/>
          <w:i/>
          <w:sz w:val="20"/>
          <w:szCs w:val="24"/>
        </w:rPr>
        <w:t xml:space="preserve"> of the Council of Europe</w:t>
      </w:r>
      <w:r w:rsidRPr="00B37972">
        <w:rPr>
          <w:rFonts w:ascii="Verdana" w:hAnsi="Verdana"/>
          <w:i/>
          <w:sz w:val="20"/>
          <w:szCs w:val="24"/>
        </w:rPr>
        <w:t xml:space="preserve"> in order to ensure that the independence of the judiciary is preserved and the reform process in general remains intact.”</w:t>
      </w:r>
    </w:p>
    <w:p w:rsidR="00D12937" w:rsidRPr="00B37972" w:rsidRDefault="00D12937" w:rsidP="00B37972">
      <w:pPr>
        <w:pStyle w:val="Listparagraf"/>
        <w:tabs>
          <w:tab w:val="left" w:pos="567"/>
        </w:tabs>
        <w:suppressAutoHyphens w:val="0"/>
        <w:spacing w:after="0" w:line="240" w:lineRule="auto"/>
        <w:ind w:left="0"/>
        <w:jc w:val="both"/>
        <w:rPr>
          <w:rFonts w:ascii="Verdana" w:hAnsi="Verdana"/>
          <w:sz w:val="20"/>
          <w:szCs w:val="24"/>
        </w:rPr>
      </w:pPr>
    </w:p>
    <w:p w:rsidR="00D250A0" w:rsidRPr="00B37972" w:rsidRDefault="00946203"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rPr>
        <w:t xml:space="preserve">The amendments to the three laws were finally adopted and entered into force on </w:t>
      </w:r>
      <w:r w:rsidR="00E7376A">
        <w:rPr>
          <w:rFonts w:ascii="Verdana" w:hAnsi="Verdana"/>
          <w:sz w:val="20"/>
          <w:szCs w:val="24"/>
        </w:rPr>
        <w:t>23</w:t>
      </w:r>
      <w:r w:rsidR="00872C7F">
        <w:rPr>
          <w:rFonts w:ascii="Verdana" w:hAnsi="Verdana"/>
          <w:sz w:val="20"/>
          <w:szCs w:val="24"/>
        </w:rPr>
        <w:t> </w:t>
      </w:r>
      <w:r w:rsidRPr="00B37972">
        <w:rPr>
          <w:rFonts w:ascii="Verdana" w:hAnsi="Verdana"/>
          <w:sz w:val="20"/>
          <w:szCs w:val="24"/>
        </w:rPr>
        <w:t xml:space="preserve">July 2018 (amendments to Law no. 304/2004 on the judicial organisation), 11 October 2018 (amendments to Law no. 317/2004 on the Superior Council </w:t>
      </w:r>
      <w:r w:rsidR="00660749" w:rsidRPr="00B37972">
        <w:rPr>
          <w:rFonts w:ascii="Verdana" w:hAnsi="Verdana"/>
          <w:sz w:val="20"/>
          <w:szCs w:val="24"/>
        </w:rPr>
        <w:t xml:space="preserve">of </w:t>
      </w:r>
      <w:r w:rsidRPr="00B37972">
        <w:rPr>
          <w:rFonts w:ascii="Verdana" w:hAnsi="Verdana"/>
          <w:sz w:val="20"/>
          <w:szCs w:val="24"/>
        </w:rPr>
        <w:t xml:space="preserve">Magistracy) and </w:t>
      </w:r>
      <w:r w:rsidR="00E7376A">
        <w:rPr>
          <w:rFonts w:ascii="Verdana" w:hAnsi="Verdana"/>
          <w:sz w:val="20"/>
          <w:szCs w:val="24"/>
        </w:rPr>
        <w:t>18</w:t>
      </w:r>
      <w:r w:rsidR="00872C7F">
        <w:rPr>
          <w:rFonts w:ascii="Verdana" w:hAnsi="Verdana"/>
          <w:sz w:val="20"/>
          <w:szCs w:val="24"/>
        </w:rPr>
        <w:t> </w:t>
      </w:r>
      <w:r w:rsidRPr="00B37972">
        <w:rPr>
          <w:rFonts w:ascii="Verdana" w:hAnsi="Verdana"/>
          <w:sz w:val="20"/>
          <w:szCs w:val="24"/>
        </w:rPr>
        <w:t xml:space="preserve">October 2018 (amendments to Law no. 303/2004 on the statute of judges and prosecutors). </w:t>
      </w:r>
      <w:r w:rsidR="009E5B75" w:rsidRPr="00B37972">
        <w:rPr>
          <w:rFonts w:ascii="Verdana" w:hAnsi="Verdana"/>
          <w:sz w:val="20"/>
          <w:szCs w:val="24"/>
        </w:rPr>
        <w:t xml:space="preserve">In the course of </w:t>
      </w:r>
      <w:r w:rsidR="00D250A0" w:rsidRPr="00B37972">
        <w:rPr>
          <w:rFonts w:ascii="Verdana" w:hAnsi="Verdana"/>
          <w:sz w:val="20"/>
          <w:szCs w:val="24"/>
        </w:rPr>
        <w:t xml:space="preserve">the </w:t>
      </w:r>
      <w:r w:rsidR="009E5B75" w:rsidRPr="00B37972">
        <w:rPr>
          <w:rFonts w:ascii="Verdana" w:hAnsi="Verdana"/>
          <w:sz w:val="20"/>
          <w:szCs w:val="24"/>
        </w:rPr>
        <w:t xml:space="preserve">legislative process, </w:t>
      </w:r>
      <w:r w:rsidR="00D250A0" w:rsidRPr="00B37972">
        <w:rPr>
          <w:rFonts w:ascii="Verdana" w:hAnsi="Verdana"/>
          <w:sz w:val="20"/>
          <w:szCs w:val="24"/>
        </w:rPr>
        <w:t xml:space="preserve">a </w:t>
      </w:r>
      <w:r w:rsidR="009E5B75" w:rsidRPr="00B37972">
        <w:rPr>
          <w:rFonts w:ascii="Verdana" w:hAnsi="Verdana"/>
          <w:sz w:val="20"/>
          <w:szCs w:val="24"/>
        </w:rPr>
        <w:t xml:space="preserve">considerable number of provisions contained in the draft amendments were </w:t>
      </w:r>
      <w:r w:rsidR="00D12937" w:rsidRPr="00B37972">
        <w:rPr>
          <w:rFonts w:ascii="Verdana" w:hAnsi="Verdana"/>
          <w:sz w:val="20"/>
          <w:szCs w:val="24"/>
        </w:rPr>
        <w:t>challenge</w:t>
      </w:r>
      <w:r w:rsidR="009E5B75" w:rsidRPr="00B37972">
        <w:rPr>
          <w:rFonts w:ascii="Verdana" w:hAnsi="Verdana"/>
          <w:sz w:val="20"/>
          <w:szCs w:val="24"/>
        </w:rPr>
        <w:t>d</w:t>
      </w:r>
      <w:r w:rsidR="00D12937" w:rsidRPr="00B37972">
        <w:rPr>
          <w:rFonts w:ascii="Verdana" w:hAnsi="Verdana"/>
          <w:sz w:val="20"/>
          <w:szCs w:val="24"/>
        </w:rPr>
        <w:t xml:space="preserve"> </w:t>
      </w:r>
      <w:r w:rsidR="009E5B75" w:rsidRPr="00B37972">
        <w:rPr>
          <w:rFonts w:ascii="Verdana" w:hAnsi="Verdana"/>
          <w:sz w:val="20"/>
          <w:szCs w:val="24"/>
        </w:rPr>
        <w:t xml:space="preserve">at the Constitutional Court by the President of Romania, </w:t>
      </w:r>
      <w:r w:rsidR="00D12937" w:rsidRPr="00B37972">
        <w:rPr>
          <w:rFonts w:ascii="Verdana" w:hAnsi="Verdana"/>
          <w:sz w:val="20"/>
          <w:szCs w:val="24"/>
        </w:rPr>
        <w:t xml:space="preserve">by MPs and </w:t>
      </w:r>
      <w:r w:rsidR="009E5B75" w:rsidRPr="00B37972">
        <w:rPr>
          <w:rFonts w:ascii="Verdana" w:hAnsi="Verdana"/>
          <w:sz w:val="20"/>
          <w:szCs w:val="24"/>
        </w:rPr>
        <w:t xml:space="preserve">by </w:t>
      </w:r>
      <w:r w:rsidR="00D12937" w:rsidRPr="00B37972">
        <w:rPr>
          <w:rFonts w:ascii="Verdana" w:hAnsi="Verdana"/>
          <w:sz w:val="20"/>
          <w:szCs w:val="24"/>
        </w:rPr>
        <w:t xml:space="preserve">the High Court of Cassation and Justice. </w:t>
      </w:r>
      <w:r w:rsidR="009E5B75" w:rsidRPr="00B37972">
        <w:rPr>
          <w:rFonts w:ascii="Verdana" w:hAnsi="Verdana"/>
          <w:sz w:val="20"/>
          <w:szCs w:val="24"/>
        </w:rPr>
        <w:t xml:space="preserve">As </w:t>
      </w:r>
      <w:r w:rsidR="00D250A0" w:rsidRPr="00B37972">
        <w:rPr>
          <w:rFonts w:ascii="Verdana" w:hAnsi="Verdana"/>
          <w:sz w:val="20"/>
          <w:szCs w:val="24"/>
        </w:rPr>
        <w:t>a</w:t>
      </w:r>
      <w:r w:rsidR="009E5B75" w:rsidRPr="00B37972">
        <w:rPr>
          <w:rFonts w:ascii="Verdana" w:hAnsi="Verdana"/>
          <w:sz w:val="20"/>
          <w:szCs w:val="24"/>
        </w:rPr>
        <w:t xml:space="preserve"> result, numerous </w:t>
      </w:r>
      <w:r w:rsidR="00D12937" w:rsidRPr="00B37972">
        <w:rPr>
          <w:rFonts w:ascii="Verdana" w:hAnsi="Verdana"/>
          <w:sz w:val="20"/>
          <w:szCs w:val="24"/>
        </w:rPr>
        <w:t>provisions</w:t>
      </w:r>
      <w:r w:rsidR="009E5B75" w:rsidRPr="00B37972">
        <w:rPr>
          <w:rFonts w:ascii="Verdana" w:hAnsi="Verdana"/>
          <w:sz w:val="20"/>
          <w:szCs w:val="24"/>
        </w:rPr>
        <w:t xml:space="preserve"> were declared unconstitutional</w:t>
      </w:r>
      <w:r w:rsidRPr="00B37972">
        <w:rPr>
          <w:rFonts w:ascii="Verdana" w:hAnsi="Verdana"/>
          <w:sz w:val="20"/>
          <w:szCs w:val="24"/>
        </w:rPr>
        <w:t>.</w:t>
      </w:r>
      <w:r w:rsidR="00D250A0" w:rsidRPr="00B37972">
        <w:rPr>
          <w:rFonts w:ascii="Verdana" w:hAnsi="Verdana"/>
          <w:sz w:val="20"/>
          <w:szCs w:val="24"/>
        </w:rPr>
        <w:t xml:space="preserve"> </w:t>
      </w:r>
    </w:p>
    <w:p w:rsidR="0022245C" w:rsidRPr="00B37972" w:rsidRDefault="0022245C" w:rsidP="00B37972">
      <w:pPr>
        <w:pStyle w:val="Listparagraf"/>
        <w:tabs>
          <w:tab w:val="left" w:pos="567"/>
        </w:tabs>
        <w:suppressAutoHyphens w:val="0"/>
        <w:spacing w:after="0" w:line="240" w:lineRule="auto"/>
        <w:ind w:left="0"/>
        <w:jc w:val="both"/>
        <w:rPr>
          <w:rFonts w:ascii="Verdana" w:hAnsi="Verdana"/>
          <w:sz w:val="20"/>
          <w:szCs w:val="24"/>
        </w:rPr>
      </w:pPr>
    </w:p>
    <w:p w:rsidR="00D250A0" w:rsidRPr="00B37972" w:rsidRDefault="00D250A0"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rPr>
        <w:t>During the legislative process, the numerous calls upon the authorities, including by GRECO, to request an opinion from the Venice Commission remained unanswered, until the President of Romania</w:t>
      </w:r>
      <w:r w:rsidR="005C7A5A" w:rsidRPr="00B37972">
        <w:rPr>
          <w:rFonts w:ascii="Verdana" w:hAnsi="Verdana"/>
          <w:sz w:val="20"/>
          <w:szCs w:val="24"/>
        </w:rPr>
        <w:t>,</w:t>
      </w:r>
      <w:r w:rsidRPr="00B37972">
        <w:rPr>
          <w:rFonts w:ascii="Verdana" w:hAnsi="Verdana"/>
          <w:sz w:val="20"/>
          <w:szCs w:val="24"/>
        </w:rPr>
        <w:t xml:space="preserve"> on 3 May 2018</w:t>
      </w:r>
      <w:r w:rsidR="005C7A5A" w:rsidRPr="00B37972">
        <w:rPr>
          <w:rFonts w:ascii="Verdana" w:hAnsi="Verdana"/>
          <w:sz w:val="20"/>
          <w:szCs w:val="24"/>
        </w:rPr>
        <w:t>,</w:t>
      </w:r>
      <w:r w:rsidRPr="00B37972">
        <w:rPr>
          <w:rFonts w:ascii="Verdana" w:hAnsi="Verdana"/>
          <w:sz w:val="20"/>
          <w:szCs w:val="24"/>
        </w:rPr>
        <w:t xml:space="preserve"> and then the Monitoring Committee of the Parliamentary Assembly of the Council of Europe (PACE)</w:t>
      </w:r>
      <w:r w:rsidR="005C7A5A" w:rsidRPr="00B37972">
        <w:rPr>
          <w:rFonts w:ascii="Verdana" w:hAnsi="Verdana"/>
          <w:sz w:val="20"/>
          <w:szCs w:val="24"/>
        </w:rPr>
        <w:t>,</w:t>
      </w:r>
      <w:r w:rsidRPr="00B37972">
        <w:rPr>
          <w:rFonts w:ascii="Verdana" w:hAnsi="Verdana"/>
          <w:sz w:val="20"/>
          <w:szCs w:val="24"/>
        </w:rPr>
        <w:t xml:space="preserve"> on 4 May </w:t>
      </w:r>
      <w:r w:rsidR="00417681" w:rsidRPr="00B37972">
        <w:rPr>
          <w:rFonts w:ascii="Verdana" w:hAnsi="Verdana"/>
          <w:sz w:val="20"/>
          <w:szCs w:val="24"/>
        </w:rPr>
        <w:t>2018</w:t>
      </w:r>
      <w:r w:rsidR="005C7A5A" w:rsidRPr="00B37972">
        <w:rPr>
          <w:rFonts w:ascii="Verdana" w:hAnsi="Verdana"/>
          <w:sz w:val="20"/>
          <w:szCs w:val="24"/>
        </w:rPr>
        <w:t>,</w:t>
      </w:r>
      <w:r w:rsidR="00417681" w:rsidRPr="00B37972">
        <w:rPr>
          <w:rFonts w:ascii="Verdana" w:hAnsi="Verdana"/>
          <w:sz w:val="20"/>
          <w:szCs w:val="24"/>
        </w:rPr>
        <w:t xml:space="preserve"> </w:t>
      </w:r>
      <w:r w:rsidRPr="00B37972">
        <w:rPr>
          <w:rFonts w:ascii="Verdana" w:hAnsi="Verdana"/>
          <w:sz w:val="20"/>
          <w:szCs w:val="24"/>
        </w:rPr>
        <w:t xml:space="preserve">requested such </w:t>
      </w:r>
      <w:r w:rsidR="003D547C" w:rsidRPr="00B37972">
        <w:rPr>
          <w:rFonts w:ascii="Verdana" w:hAnsi="Verdana"/>
          <w:sz w:val="20"/>
          <w:szCs w:val="24"/>
        </w:rPr>
        <w:t xml:space="preserve">an </w:t>
      </w:r>
      <w:r w:rsidRPr="00B37972">
        <w:rPr>
          <w:rFonts w:ascii="Verdana" w:hAnsi="Verdana"/>
          <w:sz w:val="20"/>
          <w:szCs w:val="24"/>
        </w:rPr>
        <w:t xml:space="preserve">opinion regarding </w:t>
      </w:r>
      <w:r w:rsidR="003D547C" w:rsidRPr="00B37972">
        <w:rPr>
          <w:rFonts w:ascii="Verdana" w:hAnsi="Verdana"/>
          <w:sz w:val="20"/>
          <w:szCs w:val="24"/>
        </w:rPr>
        <w:t xml:space="preserve">the </w:t>
      </w:r>
      <w:r w:rsidRPr="00B37972">
        <w:rPr>
          <w:rFonts w:ascii="Verdana" w:hAnsi="Verdana"/>
          <w:sz w:val="20"/>
          <w:szCs w:val="24"/>
        </w:rPr>
        <w:t xml:space="preserve">amendments to the three laws of </w:t>
      </w:r>
      <w:r w:rsidR="00417681" w:rsidRPr="00B37972">
        <w:rPr>
          <w:rFonts w:ascii="Verdana" w:hAnsi="Verdana"/>
          <w:sz w:val="20"/>
          <w:szCs w:val="24"/>
        </w:rPr>
        <w:t xml:space="preserve">the </w:t>
      </w:r>
      <w:r w:rsidRPr="00B37972">
        <w:rPr>
          <w:rFonts w:ascii="Verdana" w:hAnsi="Verdana"/>
          <w:sz w:val="20"/>
          <w:szCs w:val="24"/>
        </w:rPr>
        <w:t>judiciary.</w:t>
      </w:r>
    </w:p>
    <w:p w:rsidR="00D250A0" w:rsidRPr="00B37972" w:rsidRDefault="00D250A0" w:rsidP="00B37972">
      <w:pPr>
        <w:pStyle w:val="Listparagraf"/>
        <w:tabs>
          <w:tab w:val="left" w:pos="567"/>
        </w:tabs>
        <w:suppressAutoHyphens w:val="0"/>
        <w:spacing w:after="0" w:line="240" w:lineRule="auto"/>
        <w:ind w:left="0"/>
        <w:jc w:val="both"/>
        <w:rPr>
          <w:rFonts w:ascii="Verdana" w:hAnsi="Verdana"/>
          <w:sz w:val="20"/>
          <w:szCs w:val="24"/>
        </w:rPr>
      </w:pPr>
    </w:p>
    <w:p w:rsidR="00D12937" w:rsidRPr="00B37972" w:rsidRDefault="002A4BF9" w:rsidP="00B37972">
      <w:pPr>
        <w:suppressAutoHyphens w:val="0"/>
        <w:spacing w:after="0" w:line="240" w:lineRule="auto"/>
        <w:jc w:val="both"/>
        <w:rPr>
          <w:rFonts w:ascii="Verdana" w:hAnsi="Verdana"/>
          <w:sz w:val="20"/>
          <w:szCs w:val="24"/>
        </w:rPr>
      </w:pPr>
      <w:r w:rsidRPr="00B37972">
        <w:rPr>
          <w:rFonts w:ascii="Verdana" w:hAnsi="Verdana"/>
          <w:b/>
          <w:sz w:val="20"/>
          <w:szCs w:val="24"/>
        </w:rPr>
        <w:t>III.</w:t>
      </w:r>
      <w:r w:rsidRPr="00B37972">
        <w:rPr>
          <w:rFonts w:ascii="Verdana" w:hAnsi="Verdana"/>
          <w:b/>
          <w:sz w:val="20"/>
          <w:szCs w:val="24"/>
        </w:rPr>
        <w:tab/>
      </w:r>
      <w:r w:rsidRPr="00B37972">
        <w:rPr>
          <w:rFonts w:ascii="Verdana" w:hAnsi="Verdana"/>
          <w:b/>
          <w:sz w:val="20"/>
          <w:szCs w:val="24"/>
          <w:u w:val="single"/>
        </w:rPr>
        <w:t>ANALYSIS</w:t>
      </w:r>
    </w:p>
    <w:p w:rsidR="00D12937" w:rsidRPr="00B37972" w:rsidRDefault="00D12937" w:rsidP="00B37972">
      <w:pPr>
        <w:pStyle w:val="Listparagraf"/>
        <w:tabs>
          <w:tab w:val="left" w:pos="567"/>
        </w:tabs>
        <w:suppressAutoHyphens w:val="0"/>
        <w:spacing w:after="0" w:line="240" w:lineRule="auto"/>
        <w:ind w:left="0"/>
        <w:jc w:val="both"/>
        <w:rPr>
          <w:rFonts w:ascii="Verdana" w:hAnsi="Verdana"/>
          <w:sz w:val="20"/>
          <w:szCs w:val="24"/>
        </w:rPr>
      </w:pPr>
    </w:p>
    <w:p w:rsidR="00D12937" w:rsidRPr="00B37972" w:rsidRDefault="00D12937"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rPr>
        <w:t xml:space="preserve">The following analysis focuses on </w:t>
      </w:r>
      <w:r w:rsidR="009E5B75" w:rsidRPr="00B37972">
        <w:rPr>
          <w:rFonts w:ascii="Verdana" w:hAnsi="Verdana"/>
          <w:sz w:val="20"/>
          <w:szCs w:val="24"/>
        </w:rPr>
        <w:t xml:space="preserve">the implementation by Romania of recommendations put forward by GRECO in the Ad </w:t>
      </w:r>
      <w:r w:rsidR="000D5F3C" w:rsidRPr="00B37972">
        <w:rPr>
          <w:rFonts w:ascii="Verdana" w:hAnsi="Verdana"/>
          <w:sz w:val="20"/>
          <w:szCs w:val="24"/>
        </w:rPr>
        <w:t>h</w:t>
      </w:r>
      <w:r w:rsidR="009E5B75" w:rsidRPr="00B37972">
        <w:rPr>
          <w:rFonts w:ascii="Verdana" w:hAnsi="Verdana"/>
          <w:sz w:val="20"/>
          <w:szCs w:val="24"/>
        </w:rPr>
        <w:t xml:space="preserve">oc Report regarding </w:t>
      </w:r>
      <w:r w:rsidRPr="00B37972">
        <w:rPr>
          <w:rFonts w:ascii="Verdana" w:hAnsi="Verdana"/>
          <w:sz w:val="20"/>
          <w:szCs w:val="24"/>
        </w:rPr>
        <w:t xml:space="preserve">certain aspects of the </w:t>
      </w:r>
      <w:r w:rsidR="009E5B75" w:rsidRPr="00B37972">
        <w:rPr>
          <w:rFonts w:ascii="Verdana" w:hAnsi="Verdana"/>
          <w:sz w:val="20"/>
          <w:szCs w:val="24"/>
        </w:rPr>
        <w:t xml:space="preserve">[then] </w:t>
      </w:r>
      <w:r w:rsidRPr="00B37972">
        <w:rPr>
          <w:rFonts w:ascii="Verdana" w:hAnsi="Verdana"/>
          <w:sz w:val="20"/>
          <w:szCs w:val="24"/>
        </w:rPr>
        <w:t>draft amendments</w:t>
      </w:r>
      <w:r w:rsidR="0028325D" w:rsidRPr="00B37972">
        <w:rPr>
          <w:rFonts w:ascii="Verdana" w:hAnsi="Verdana"/>
          <w:sz w:val="20"/>
          <w:szCs w:val="24"/>
        </w:rPr>
        <w:t xml:space="preserve">, which have </w:t>
      </w:r>
      <w:r w:rsidR="005C7A5A" w:rsidRPr="00B37972">
        <w:rPr>
          <w:rFonts w:ascii="Verdana" w:hAnsi="Verdana"/>
          <w:sz w:val="20"/>
          <w:szCs w:val="24"/>
        </w:rPr>
        <w:t xml:space="preserve">since </w:t>
      </w:r>
      <w:r w:rsidR="0028325D" w:rsidRPr="00B37972">
        <w:rPr>
          <w:rFonts w:ascii="Verdana" w:hAnsi="Verdana"/>
          <w:sz w:val="20"/>
          <w:szCs w:val="24"/>
        </w:rPr>
        <w:t>become laws</w:t>
      </w:r>
      <w:r w:rsidRPr="00B37972">
        <w:rPr>
          <w:rFonts w:ascii="Verdana" w:hAnsi="Verdana"/>
          <w:sz w:val="20"/>
          <w:szCs w:val="24"/>
        </w:rPr>
        <w:t xml:space="preserve">. This new legislation is </w:t>
      </w:r>
      <w:r w:rsidR="009E5B75" w:rsidRPr="00B37972">
        <w:rPr>
          <w:rFonts w:ascii="Verdana" w:hAnsi="Verdana"/>
          <w:sz w:val="20"/>
          <w:szCs w:val="24"/>
        </w:rPr>
        <w:t xml:space="preserve">of </w:t>
      </w:r>
      <w:r w:rsidR="0028325D" w:rsidRPr="00B37972">
        <w:rPr>
          <w:rFonts w:ascii="Verdana" w:hAnsi="Verdana"/>
          <w:sz w:val="20"/>
          <w:szCs w:val="24"/>
        </w:rPr>
        <w:t xml:space="preserve">particular </w:t>
      </w:r>
      <w:r w:rsidR="009E5B75" w:rsidRPr="00B37972">
        <w:rPr>
          <w:rFonts w:ascii="Verdana" w:hAnsi="Verdana"/>
          <w:sz w:val="20"/>
          <w:szCs w:val="24"/>
        </w:rPr>
        <w:t xml:space="preserve">relevance to </w:t>
      </w:r>
      <w:r w:rsidRPr="00B37972">
        <w:rPr>
          <w:rFonts w:ascii="Verdana" w:hAnsi="Verdana"/>
          <w:sz w:val="20"/>
          <w:szCs w:val="24"/>
        </w:rPr>
        <w:t xml:space="preserve">GRECO’s Fourth Evaluation Round, covering, </w:t>
      </w:r>
      <w:r w:rsidRPr="00B37972">
        <w:rPr>
          <w:rFonts w:ascii="Verdana" w:hAnsi="Verdana"/>
          <w:i/>
          <w:sz w:val="20"/>
          <w:szCs w:val="24"/>
        </w:rPr>
        <w:t>inter alia</w:t>
      </w:r>
      <w:r w:rsidRPr="00B37972">
        <w:rPr>
          <w:rFonts w:ascii="Verdana" w:hAnsi="Verdana"/>
          <w:sz w:val="20"/>
          <w:szCs w:val="24"/>
        </w:rPr>
        <w:t>, corruption prevention in respect of judges and prosecutors</w:t>
      </w:r>
      <w:r w:rsidR="009E5B75" w:rsidRPr="00B37972">
        <w:rPr>
          <w:rFonts w:ascii="Verdana" w:hAnsi="Verdana"/>
          <w:sz w:val="20"/>
          <w:szCs w:val="24"/>
        </w:rPr>
        <w:t xml:space="preserve">, as well as the </w:t>
      </w:r>
      <w:r w:rsidR="00AD5F06" w:rsidRPr="00B37972">
        <w:rPr>
          <w:rFonts w:ascii="Verdana" w:hAnsi="Verdana"/>
          <w:sz w:val="20"/>
          <w:szCs w:val="24"/>
        </w:rPr>
        <w:t xml:space="preserve">Council of Europe standards on </w:t>
      </w:r>
      <w:r w:rsidR="00F53757" w:rsidRPr="00B37972">
        <w:rPr>
          <w:rFonts w:ascii="Verdana" w:hAnsi="Verdana"/>
          <w:sz w:val="20"/>
          <w:szCs w:val="24"/>
        </w:rPr>
        <w:t>prevent</w:t>
      </w:r>
      <w:r w:rsidR="00AD5F06" w:rsidRPr="00B37972">
        <w:rPr>
          <w:rFonts w:ascii="Verdana" w:hAnsi="Verdana"/>
          <w:sz w:val="20"/>
          <w:szCs w:val="24"/>
        </w:rPr>
        <w:t>ing</w:t>
      </w:r>
      <w:r w:rsidR="00F53757" w:rsidRPr="00B37972">
        <w:rPr>
          <w:rFonts w:ascii="Verdana" w:hAnsi="Verdana"/>
          <w:sz w:val="20"/>
          <w:szCs w:val="24"/>
        </w:rPr>
        <w:t xml:space="preserve"> and </w:t>
      </w:r>
      <w:r w:rsidR="007521D5" w:rsidRPr="00B37972">
        <w:rPr>
          <w:rFonts w:ascii="Verdana" w:hAnsi="Verdana"/>
          <w:sz w:val="20"/>
          <w:szCs w:val="24"/>
        </w:rPr>
        <w:t>combat</w:t>
      </w:r>
      <w:r w:rsidR="00AD5F06" w:rsidRPr="00B37972">
        <w:rPr>
          <w:rFonts w:ascii="Verdana" w:hAnsi="Verdana"/>
          <w:sz w:val="20"/>
          <w:szCs w:val="24"/>
        </w:rPr>
        <w:t>ing</w:t>
      </w:r>
      <w:r w:rsidR="007521D5" w:rsidRPr="00B37972">
        <w:rPr>
          <w:rFonts w:ascii="Verdana" w:hAnsi="Verdana"/>
          <w:sz w:val="20"/>
          <w:szCs w:val="24"/>
        </w:rPr>
        <w:t xml:space="preserve"> corruption effectively</w:t>
      </w:r>
      <w:r w:rsidRPr="00B37972">
        <w:rPr>
          <w:rFonts w:ascii="Verdana" w:hAnsi="Verdana"/>
          <w:sz w:val="20"/>
          <w:szCs w:val="24"/>
        </w:rPr>
        <w:t>.</w:t>
      </w:r>
    </w:p>
    <w:p w:rsidR="00D12937" w:rsidRPr="00B37972" w:rsidRDefault="00D12937" w:rsidP="00B37972">
      <w:pPr>
        <w:pStyle w:val="Listparagraf"/>
        <w:tabs>
          <w:tab w:val="left" w:pos="567"/>
        </w:tabs>
        <w:suppressAutoHyphens w:val="0"/>
        <w:spacing w:after="0" w:line="240" w:lineRule="auto"/>
        <w:ind w:left="0"/>
        <w:jc w:val="both"/>
        <w:rPr>
          <w:rFonts w:ascii="Verdana" w:hAnsi="Verdana"/>
          <w:sz w:val="20"/>
          <w:szCs w:val="24"/>
        </w:rPr>
      </w:pPr>
    </w:p>
    <w:p w:rsidR="00D12937" w:rsidRPr="00B37972" w:rsidRDefault="00F53757"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rPr>
        <w:t xml:space="preserve">When preparing the present Ad </w:t>
      </w:r>
      <w:r w:rsidR="000D5F3C" w:rsidRPr="00B37972">
        <w:rPr>
          <w:rFonts w:ascii="Verdana" w:hAnsi="Verdana"/>
          <w:sz w:val="20"/>
          <w:szCs w:val="24"/>
        </w:rPr>
        <w:t>h</w:t>
      </w:r>
      <w:r w:rsidRPr="00B37972">
        <w:rPr>
          <w:rFonts w:ascii="Verdana" w:hAnsi="Verdana"/>
          <w:sz w:val="20"/>
          <w:szCs w:val="24"/>
        </w:rPr>
        <w:t xml:space="preserve">oc Report, </w:t>
      </w:r>
      <w:r w:rsidR="0028325D" w:rsidRPr="00B37972">
        <w:rPr>
          <w:rFonts w:ascii="Verdana" w:hAnsi="Verdana"/>
          <w:sz w:val="20"/>
          <w:szCs w:val="24"/>
        </w:rPr>
        <w:t xml:space="preserve">in addition to the extensive </w:t>
      </w:r>
      <w:r w:rsidR="007925A6" w:rsidRPr="00B37972">
        <w:rPr>
          <w:rFonts w:ascii="Verdana" w:hAnsi="Verdana"/>
          <w:sz w:val="20"/>
          <w:szCs w:val="24"/>
        </w:rPr>
        <w:t xml:space="preserve">information provided by the Romanian authorities, </w:t>
      </w:r>
      <w:r w:rsidRPr="00B37972">
        <w:rPr>
          <w:rFonts w:ascii="Verdana" w:hAnsi="Verdana"/>
          <w:sz w:val="20"/>
          <w:szCs w:val="24"/>
        </w:rPr>
        <w:t>GRECO took into account</w:t>
      </w:r>
      <w:r w:rsidR="005C7A5A" w:rsidRPr="00B37972">
        <w:rPr>
          <w:rFonts w:ascii="Verdana" w:hAnsi="Verdana"/>
          <w:sz w:val="20"/>
          <w:szCs w:val="24"/>
        </w:rPr>
        <w:t>,</w:t>
      </w:r>
      <w:r w:rsidRPr="00B37972">
        <w:rPr>
          <w:rFonts w:ascii="Verdana" w:hAnsi="Verdana"/>
          <w:sz w:val="20"/>
          <w:szCs w:val="24"/>
        </w:rPr>
        <w:t xml:space="preserve"> </w:t>
      </w:r>
      <w:r w:rsidRPr="00B37972">
        <w:rPr>
          <w:rFonts w:ascii="Verdana" w:hAnsi="Verdana"/>
          <w:i/>
          <w:sz w:val="20"/>
          <w:szCs w:val="24"/>
        </w:rPr>
        <w:t>inter alia</w:t>
      </w:r>
      <w:r w:rsidR="005C7A5A" w:rsidRPr="00B37972">
        <w:rPr>
          <w:rFonts w:ascii="Verdana" w:hAnsi="Verdana"/>
          <w:i/>
          <w:sz w:val="20"/>
          <w:szCs w:val="24"/>
        </w:rPr>
        <w:t>,</w:t>
      </w:r>
      <w:r w:rsidRPr="00B37972">
        <w:rPr>
          <w:rFonts w:ascii="Verdana" w:hAnsi="Verdana"/>
          <w:sz w:val="20"/>
          <w:szCs w:val="24"/>
        </w:rPr>
        <w:t xml:space="preserve"> </w:t>
      </w:r>
      <w:r w:rsidR="007925A6" w:rsidRPr="00B37972">
        <w:rPr>
          <w:rFonts w:ascii="Verdana" w:hAnsi="Verdana"/>
          <w:sz w:val="20"/>
          <w:szCs w:val="24"/>
        </w:rPr>
        <w:t>the Opinion</w:t>
      </w:r>
      <w:r w:rsidR="00A665EF" w:rsidRPr="00B37972">
        <w:rPr>
          <w:rStyle w:val="Referinnotdesubsol"/>
          <w:rFonts w:ascii="Verdana" w:hAnsi="Verdana"/>
          <w:sz w:val="20"/>
          <w:szCs w:val="24"/>
        </w:rPr>
        <w:footnoteReference w:id="6"/>
      </w:r>
      <w:r w:rsidR="007925A6" w:rsidRPr="00B37972">
        <w:rPr>
          <w:rFonts w:ascii="Verdana" w:hAnsi="Verdana"/>
          <w:sz w:val="20"/>
          <w:szCs w:val="24"/>
        </w:rPr>
        <w:t xml:space="preserve"> of the Venice Commission on amendments to the three justice laws, the Opinion</w:t>
      </w:r>
      <w:r w:rsidR="00344D02" w:rsidRPr="00B37972">
        <w:rPr>
          <w:rStyle w:val="Referinnotdesubsol"/>
          <w:rFonts w:ascii="Verdana" w:hAnsi="Verdana"/>
          <w:sz w:val="20"/>
          <w:szCs w:val="24"/>
        </w:rPr>
        <w:footnoteReference w:id="7"/>
      </w:r>
      <w:r w:rsidR="007925A6" w:rsidRPr="00B37972">
        <w:rPr>
          <w:rFonts w:ascii="Verdana" w:hAnsi="Verdana"/>
          <w:sz w:val="20"/>
          <w:szCs w:val="24"/>
        </w:rPr>
        <w:t xml:space="preserve"> of the Bureau of the Consultative Council of European Prosecutors (CCPE), the Opinion</w:t>
      </w:r>
      <w:r w:rsidR="00A665EF" w:rsidRPr="00B37972">
        <w:rPr>
          <w:rStyle w:val="Referinnotdesubsol"/>
          <w:rFonts w:ascii="Verdana" w:hAnsi="Verdana"/>
          <w:sz w:val="20"/>
          <w:szCs w:val="24"/>
        </w:rPr>
        <w:footnoteReference w:id="8"/>
      </w:r>
      <w:r w:rsidR="007925A6" w:rsidRPr="00B37972">
        <w:rPr>
          <w:rFonts w:ascii="Verdana" w:hAnsi="Verdana"/>
          <w:sz w:val="20"/>
          <w:szCs w:val="24"/>
        </w:rPr>
        <w:t xml:space="preserve"> of the Bureau of the Consultative Council of European Judges (CCJE), and </w:t>
      </w:r>
      <w:r w:rsidRPr="00B37972">
        <w:rPr>
          <w:rFonts w:ascii="Verdana" w:hAnsi="Verdana"/>
          <w:sz w:val="20"/>
          <w:szCs w:val="24"/>
        </w:rPr>
        <w:t xml:space="preserve">the latest </w:t>
      </w:r>
      <w:r w:rsidR="00CC0E70" w:rsidRPr="00B37972">
        <w:rPr>
          <w:rFonts w:ascii="Verdana" w:hAnsi="Verdana"/>
          <w:sz w:val="20"/>
          <w:szCs w:val="24"/>
        </w:rPr>
        <w:t>Report from the Commission to the European Parliament and the Council On Progress in Romania under the Cooperation and Verification Mechanism (hereinafter “CVM Report”)</w:t>
      </w:r>
      <w:r w:rsidR="007925A6" w:rsidRPr="00B37972">
        <w:rPr>
          <w:rFonts w:ascii="Verdana" w:hAnsi="Verdana"/>
          <w:sz w:val="20"/>
          <w:szCs w:val="24"/>
        </w:rPr>
        <w:t>.</w:t>
      </w:r>
      <w:r w:rsidR="00CC0E70" w:rsidRPr="00B37972">
        <w:rPr>
          <w:rStyle w:val="Referinnotdesubsol"/>
          <w:rFonts w:ascii="Verdana" w:hAnsi="Verdana"/>
          <w:sz w:val="20"/>
          <w:szCs w:val="24"/>
        </w:rPr>
        <w:footnoteReference w:id="9"/>
      </w:r>
    </w:p>
    <w:p w:rsidR="00D12937" w:rsidRPr="00B37972" w:rsidRDefault="00D12937" w:rsidP="00B37972">
      <w:pPr>
        <w:pStyle w:val="Listparagraf"/>
        <w:tabs>
          <w:tab w:val="left" w:pos="567"/>
        </w:tabs>
        <w:suppressAutoHyphens w:val="0"/>
        <w:spacing w:after="0" w:line="240" w:lineRule="auto"/>
        <w:ind w:left="0"/>
        <w:jc w:val="both"/>
        <w:rPr>
          <w:rFonts w:ascii="Verdana" w:hAnsi="Verdana"/>
          <w:sz w:val="20"/>
          <w:szCs w:val="24"/>
        </w:rPr>
      </w:pPr>
    </w:p>
    <w:p w:rsidR="00AD55EE" w:rsidRDefault="00AD55EE" w:rsidP="00B37972">
      <w:pPr>
        <w:suppressAutoHyphens w:val="0"/>
        <w:spacing w:after="0" w:line="240" w:lineRule="auto"/>
        <w:jc w:val="both"/>
        <w:rPr>
          <w:rFonts w:ascii="Verdana" w:eastAsiaTheme="minorHAnsi" w:hAnsi="Verdana" w:cstheme="minorBidi"/>
          <w:iCs/>
          <w:sz w:val="20"/>
          <w:szCs w:val="24"/>
          <w:u w:val="single"/>
          <w:lang w:eastAsia="en-US"/>
        </w:rPr>
      </w:pPr>
    </w:p>
    <w:p w:rsidR="00AD55EE" w:rsidRDefault="00AD55EE" w:rsidP="00B37972">
      <w:pPr>
        <w:suppressAutoHyphens w:val="0"/>
        <w:spacing w:after="0" w:line="240" w:lineRule="auto"/>
        <w:jc w:val="both"/>
        <w:rPr>
          <w:rFonts w:ascii="Verdana" w:eastAsiaTheme="minorHAnsi" w:hAnsi="Verdana" w:cstheme="minorBidi"/>
          <w:iCs/>
          <w:sz w:val="20"/>
          <w:szCs w:val="24"/>
          <w:u w:val="single"/>
          <w:lang w:eastAsia="en-US"/>
        </w:rPr>
      </w:pPr>
    </w:p>
    <w:p w:rsidR="00D12937" w:rsidRPr="00B37972" w:rsidRDefault="00D12937" w:rsidP="00B37972">
      <w:pPr>
        <w:suppressAutoHyphens w:val="0"/>
        <w:spacing w:after="0" w:line="240" w:lineRule="auto"/>
        <w:jc w:val="both"/>
        <w:rPr>
          <w:rFonts w:ascii="Verdana" w:eastAsiaTheme="minorHAnsi" w:hAnsi="Verdana" w:cstheme="minorBidi"/>
          <w:iCs/>
          <w:sz w:val="20"/>
          <w:szCs w:val="24"/>
          <w:u w:val="single"/>
          <w:lang w:eastAsia="en-US"/>
        </w:rPr>
      </w:pPr>
      <w:r w:rsidRPr="00B37972">
        <w:rPr>
          <w:rFonts w:ascii="Verdana" w:eastAsiaTheme="minorHAnsi" w:hAnsi="Verdana" w:cstheme="minorBidi"/>
          <w:iCs/>
          <w:sz w:val="20"/>
          <w:szCs w:val="24"/>
          <w:u w:val="single"/>
          <w:lang w:eastAsia="en-US"/>
        </w:rPr>
        <w:t xml:space="preserve">The legislative process leading to the </w:t>
      </w:r>
      <w:r w:rsidR="007925A6" w:rsidRPr="00B37972">
        <w:rPr>
          <w:rFonts w:ascii="Verdana" w:eastAsiaTheme="minorHAnsi" w:hAnsi="Verdana" w:cstheme="minorBidi"/>
          <w:iCs/>
          <w:sz w:val="20"/>
          <w:szCs w:val="24"/>
          <w:u w:val="single"/>
          <w:lang w:eastAsia="en-US"/>
        </w:rPr>
        <w:t xml:space="preserve">amendment of </w:t>
      </w:r>
      <w:r w:rsidRPr="00B37972">
        <w:rPr>
          <w:rFonts w:ascii="Verdana" w:eastAsiaTheme="minorHAnsi" w:hAnsi="Verdana" w:cstheme="minorBidi"/>
          <w:iCs/>
          <w:sz w:val="20"/>
          <w:szCs w:val="24"/>
          <w:u w:val="single"/>
          <w:lang w:eastAsia="en-US"/>
        </w:rPr>
        <w:t>justice laws</w:t>
      </w:r>
    </w:p>
    <w:p w:rsidR="00520F27" w:rsidRPr="00B37972" w:rsidRDefault="00520F27" w:rsidP="00B37972">
      <w:pPr>
        <w:pStyle w:val="Listparagraf"/>
        <w:tabs>
          <w:tab w:val="left" w:pos="567"/>
        </w:tabs>
        <w:suppressAutoHyphens w:val="0"/>
        <w:spacing w:after="0" w:line="240" w:lineRule="auto"/>
        <w:ind w:left="0"/>
        <w:jc w:val="both"/>
        <w:rPr>
          <w:rFonts w:ascii="Verdana" w:hAnsi="Verdana"/>
          <w:sz w:val="20"/>
          <w:szCs w:val="24"/>
        </w:rPr>
      </w:pPr>
    </w:p>
    <w:p w:rsidR="003D547C" w:rsidRPr="00B37972" w:rsidRDefault="00E304A3"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rPr>
        <w:t xml:space="preserve">In its Ad </w:t>
      </w:r>
      <w:r w:rsidR="000D5F3C" w:rsidRPr="00B37972">
        <w:rPr>
          <w:rFonts w:ascii="Verdana" w:hAnsi="Verdana"/>
          <w:sz w:val="20"/>
          <w:szCs w:val="24"/>
        </w:rPr>
        <w:t>h</w:t>
      </w:r>
      <w:r w:rsidRPr="00B37972">
        <w:rPr>
          <w:rFonts w:ascii="Verdana" w:hAnsi="Verdana"/>
          <w:sz w:val="20"/>
          <w:szCs w:val="24"/>
        </w:rPr>
        <w:t xml:space="preserve">oc Report, GRECO </w:t>
      </w:r>
      <w:r w:rsidR="0028325D" w:rsidRPr="00B37972">
        <w:rPr>
          <w:rFonts w:ascii="Verdana" w:hAnsi="Verdana"/>
          <w:sz w:val="20"/>
          <w:szCs w:val="24"/>
        </w:rPr>
        <w:t xml:space="preserve">reiterated its </w:t>
      </w:r>
      <w:r w:rsidRPr="00B37972">
        <w:rPr>
          <w:rFonts w:ascii="Verdana" w:hAnsi="Verdana"/>
          <w:sz w:val="20"/>
          <w:szCs w:val="24"/>
        </w:rPr>
        <w:t>recommend</w:t>
      </w:r>
      <w:r w:rsidR="00417681" w:rsidRPr="00B37972">
        <w:rPr>
          <w:rFonts w:ascii="Verdana" w:hAnsi="Verdana"/>
          <w:sz w:val="20"/>
          <w:szCs w:val="24"/>
        </w:rPr>
        <w:t>ation</w:t>
      </w:r>
      <w:r w:rsidR="0028325D" w:rsidRPr="00B37972">
        <w:rPr>
          <w:rFonts w:ascii="Verdana" w:hAnsi="Verdana"/>
          <w:sz w:val="20"/>
          <w:szCs w:val="24"/>
        </w:rPr>
        <w:t xml:space="preserve"> from the</w:t>
      </w:r>
      <w:r w:rsidR="00417681" w:rsidRPr="00B37972">
        <w:rPr>
          <w:rFonts w:ascii="Verdana" w:hAnsi="Verdana"/>
          <w:sz w:val="20"/>
          <w:szCs w:val="24"/>
        </w:rPr>
        <w:t xml:space="preserve"> Fourth</w:t>
      </w:r>
      <w:r w:rsidR="0028325D" w:rsidRPr="00B37972">
        <w:rPr>
          <w:rFonts w:ascii="Verdana" w:hAnsi="Verdana"/>
          <w:sz w:val="20"/>
          <w:szCs w:val="24"/>
        </w:rPr>
        <w:t xml:space="preserve"> Evaluation Round </w:t>
      </w:r>
      <w:r w:rsidRPr="00B37972">
        <w:rPr>
          <w:rFonts w:ascii="Verdana" w:hAnsi="Verdana"/>
          <w:sz w:val="20"/>
          <w:szCs w:val="24"/>
        </w:rPr>
        <w:t xml:space="preserve">that </w:t>
      </w:r>
      <w:r w:rsidRPr="00B37972">
        <w:rPr>
          <w:rFonts w:ascii="Verdana" w:hAnsi="Verdana"/>
          <w:i/>
          <w:sz w:val="20"/>
          <w:szCs w:val="24"/>
        </w:rPr>
        <w:t xml:space="preserve">the transparency of the legislative process be improved (i) by further developing the rules on public debates, consultations and hearings, including criteria for a limited </w:t>
      </w:r>
      <w:r w:rsidRPr="00B37972">
        <w:rPr>
          <w:rFonts w:ascii="Verdana" w:hAnsi="Verdana"/>
          <w:i/>
          <w:sz w:val="20"/>
          <w:szCs w:val="24"/>
        </w:rPr>
        <w:lastRenderedPageBreak/>
        <w:t>number of circumstances where in camera meetings can be held, and ensuring their implementation in practice; ii) by assessing the practice followed and accordingly revising the rules to ensure that draft legislation, amendments to such drafts and the agendas and outcome of committee sittings are disclosed in a timely manner, and that adequate timeframes are in place for submitting amendments and iii) by taking appropriate measures so that the urgent procedure is applied as an exception in a limited number of circumst</w:t>
      </w:r>
      <w:r w:rsidR="0028325D" w:rsidRPr="00B37972">
        <w:rPr>
          <w:rFonts w:ascii="Verdana" w:hAnsi="Verdana"/>
          <w:i/>
          <w:sz w:val="20"/>
          <w:szCs w:val="24"/>
        </w:rPr>
        <w:t>ances.</w:t>
      </w:r>
      <w:r w:rsidR="0028325D" w:rsidRPr="00B37972">
        <w:rPr>
          <w:rFonts w:ascii="Verdana" w:hAnsi="Verdana"/>
          <w:sz w:val="20"/>
          <w:szCs w:val="24"/>
        </w:rPr>
        <w:t xml:space="preserve"> </w:t>
      </w:r>
    </w:p>
    <w:p w:rsidR="003D547C" w:rsidRPr="00B37972" w:rsidRDefault="003D547C" w:rsidP="00B37972">
      <w:pPr>
        <w:pStyle w:val="Listparagraf"/>
        <w:tabs>
          <w:tab w:val="left" w:pos="567"/>
        </w:tabs>
        <w:suppressAutoHyphens w:val="0"/>
        <w:spacing w:after="0" w:line="240" w:lineRule="auto"/>
        <w:ind w:left="0"/>
        <w:jc w:val="both"/>
        <w:rPr>
          <w:rFonts w:ascii="Verdana" w:hAnsi="Verdana"/>
          <w:sz w:val="20"/>
          <w:szCs w:val="24"/>
        </w:rPr>
      </w:pPr>
    </w:p>
    <w:p w:rsidR="00963275" w:rsidRPr="00B37972" w:rsidRDefault="00580E59"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u w:val="single"/>
        </w:rPr>
        <w:t>GRECO</w:t>
      </w:r>
      <w:r w:rsidRPr="00B37972">
        <w:rPr>
          <w:rFonts w:ascii="Verdana" w:hAnsi="Verdana"/>
          <w:sz w:val="20"/>
          <w:szCs w:val="24"/>
        </w:rPr>
        <w:t xml:space="preserve"> </w:t>
      </w:r>
      <w:r w:rsidR="0028325D" w:rsidRPr="00B37972">
        <w:rPr>
          <w:rFonts w:ascii="Verdana" w:hAnsi="Verdana"/>
          <w:sz w:val="20"/>
          <w:szCs w:val="24"/>
        </w:rPr>
        <w:t xml:space="preserve">recalls </w:t>
      </w:r>
      <w:r w:rsidRPr="00B37972">
        <w:rPr>
          <w:rFonts w:ascii="Verdana" w:hAnsi="Verdana"/>
          <w:sz w:val="20"/>
          <w:szCs w:val="24"/>
        </w:rPr>
        <w:t xml:space="preserve">that </w:t>
      </w:r>
      <w:r w:rsidR="00645B87" w:rsidRPr="00B37972">
        <w:rPr>
          <w:rFonts w:ascii="Verdana" w:hAnsi="Verdana"/>
          <w:sz w:val="20"/>
          <w:szCs w:val="24"/>
        </w:rPr>
        <w:t>according to the Interim Compliance Report (GrecoRC4(2019)11)</w:t>
      </w:r>
      <w:r w:rsidR="00AD5F06" w:rsidRPr="00B37972">
        <w:rPr>
          <w:rFonts w:ascii="Verdana" w:hAnsi="Verdana"/>
          <w:sz w:val="20"/>
          <w:szCs w:val="24"/>
        </w:rPr>
        <w:t xml:space="preserve">, adopted on </w:t>
      </w:r>
      <w:r w:rsidR="00DF570B">
        <w:rPr>
          <w:rFonts w:ascii="Verdana" w:hAnsi="Verdana"/>
          <w:sz w:val="20"/>
          <w:szCs w:val="24"/>
        </w:rPr>
        <w:t>20</w:t>
      </w:r>
      <w:r w:rsidR="00AD5F06" w:rsidRPr="00B37972">
        <w:rPr>
          <w:rFonts w:ascii="Verdana" w:hAnsi="Verdana"/>
          <w:sz w:val="20"/>
          <w:szCs w:val="24"/>
        </w:rPr>
        <w:t xml:space="preserve"> June 2019</w:t>
      </w:r>
      <w:r w:rsidR="00645B87" w:rsidRPr="00B37972">
        <w:rPr>
          <w:rFonts w:ascii="Verdana" w:hAnsi="Verdana"/>
          <w:sz w:val="20"/>
          <w:szCs w:val="24"/>
        </w:rPr>
        <w:t xml:space="preserve">, </w:t>
      </w:r>
      <w:r w:rsidR="0028325D" w:rsidRPr="00B37972">
        <w:rPr>
          <w:rFonts w:ascii="Verdana" w:hAnsi="Verdana"/>
          <w:sz w:val="20"/>
          <w:szCs w:val="24"/>
          <w:u w:val="single"/>
        </w:rPr>
        <w:t xml:space="preserve">this recommendation </w:t>
      </w:r>
      <w:r w:rsidR="00645B87" w:rsidRPr="00B37972">
        <w:rPr>
          <w:rFonts w:ascii="Verdana" w:hAnsi="Verdana"/>
          <w:sz w:val="20"/>
          <w:szCs w:val="24"/>
          <w:u w:val="single"/>
        </w:rPr>
        <w:t>is still not implemented</w:t>
      </w:r>
      <w:r w:rsidR="00645B87" w:rsidRPr="00B37972">
        <w:rPr>
          <w:rFonts w:ascii="Verdana" w:hAnsi="Verdana"/>
          <w:sz w:val="20"/>
          <w:szCs w:val="24"/>
        </w:rPr>
        <w:t xml:space="preserve">. In particular, </w:t>
      </w:r>
      <w:r w:rsidR="0028325D" w:rsidRPr="00B37972">
        <w:rPr>
          <w:rFonts w:ascii="Verdana" w:hAnsi="Verdana"/>
          <w:sz w:val="20"/>
          <w:szCs w:val="24"/>
        </w:rPr>
        <w:t xml:space="preserve">no </w:t>
      </w:r>
      <w:r w:rsidR="00645B87" w:rsidRPr="00B37972">
        <w:rPr>
          <w:rFonts w:ascii="Verdana" w:hAnsi="Verdana"/>
          <w:sz w:val="20"/>
          <w:szCs w:val="24"/>
        </w:rPr>
        <w:t xml:space="preserve">rules </w:t>
      </w:r>
      <w:r w:rsidR="0028325D" w:rsidRPr="00B37972">
        <w:rPr>
          <w:rFonts w:ascii="Verdana" w:hAnsi="Verdana"/>
          <w:sz w:val="20"/>
          <w:szCs w:val="24"/>
        </w:rPr>
        <w:t xml:space="preserve">have been further developed </w:t>
      </w:r>
      <w:r w:rsidR="00645B87" w:rsidRPr="00B37972">
        <w:rPr>
          <w:rFonts w:ascii="Verdana" w:hAnsi="Verdana"/>
          <w:sz w:val="20"/>
          <w:szCs w:val="24"/>
        </w:rPr>
        <w:t>to allow for public deba</w:t>
      </w:r>
      <w:r w:rsidR="0028325D" w:rsidRPr="00B37972">
        <w:rPr>
          <w:rFonts w:ascii="Verdana" w:hAnsi="Verdana"/>
          <w:sz w:val="20"/>
          <w:szCs w:val="24"/>
        </w:rPr>
        <w:t xml:space="preserve">tes, consultations and hearings, </w:t>
      </w:r>
      <w:r w:rsidR="00645B87" w:rsidRPr="00B37972">
        <w:rPr>
          <w:rFonts w:ascii="Verdana" w:hAnsi="Verdana"/>
          <w:sz w:val="20"/>
          <w:szCs w:val="24"/>
        </w:rPr>
        <w:t xml:space="preserve">and the practice </w:t>
      </w:r>
      <w:r w:rsidR="0028325D" w:rsidRPr="00B37972">
        <w:rPr>
          <w:rFonts w:ascii="Verdana" w:hAnsi="Verdana"/>
          <w:sz w:val="20"/>
          <w:szCs w:val="24"/>
        </w:rPr>
        <w:t>in this regard has not changed.</w:t>
      </w:r>
      <w:r w:rsidR="003D547C" w:rsidRPr="00B37972">
        <w:rPr>
          <w:rFonts w:ascii="Verdana" w:hAnsi="Verdana"/>
          <w:sz w:val="20"/>
          <w:szCs w:val="24"/>
        </w:rPr>
        <w:t xml:space="preserve"> The </w:t>
      </w:r>
      <w:r w:rsidR="00645B87" w:rsidRPr="00B37972">
        <w:rPr>
          <w:rFonts w:ascii="Verdana" w:hAnsi="Verdana"/>
          <w:sz w:val="20"/>
          <w:szCs w:val="24"/>
        </w:rPr>
        <w:t>use of Government Emergency Ordinances (GEOs) for adopting important legal amendments</w:t>
      </w:r>
      <w:r w:rsidR="003D547C" w:rsidRPr="00B37972">
        <w:rPr>
          <w:rFonts w:ascii="Verdana" w:hAnsi="Verdana"/>
          <w:sz w:val="20"/>
          <w:szCs w:val="24"/>
        </w:rPr>
        <w:t xml:space="preserve"> has continued</w:t>
      </w:r>
      <w:r w:rsidR="00645B87" w:rsidRPr="00B37972">
        <w:rPr>
          <w:rFonts w:ascii="Verdana" w:hAnsi="Verdana"/>
          <w:sz w:val="20"/>
          <w:szCs w:val="24"/>
        </w:rPr>
        <w:t xml:space="preserve">, </w:t>
      </w:r>
      <w:r w:rsidR="003D547C" w:rsidRPr="00B37972">
        <w:rPr>
          <w:rFonts w:ascii="Verdana" w:hAnsi="Verdana"/>
          <w:sz w:val="20"/>
          <w:szCs w:val="24"/>
        </w:rPr>
        <w:t xml:space="preserve">as in </w:t>
      </w:r>
      <w:r w:rsidR="00645B87" w:rsidRPr="00B37972">
        <w:rPr>
          <w:rFonts w:ascii="Verdana" w:hAnsi="Verdana"/>
          <w:sz w:val="20"/>
          <w:szCs w:val="24"/>
        </w:rPr>
        <w:t xml:space="preserve">the course of 2018-2019, the Government </w:t>
      </w:r>
      <w:r w:rsidR="00B255AB" w:rsidRPr="00B37972">
        <w:rPr>
          <w:rFonts w:ascii="Verdana" w:hAnsi="Verdana"/>
          <w:sz w:val="20"/>
          <w:szCs w:val="24"/>
        </w:rPr>
        <w:t xml:space="preserve">has </w:t>
      </w:r>
      <w:r w:rsidR="00645B87" w:rsidRPr="00B37972">
        <w:rPr>
          <w:rFonts w:ascii="Verdana" w:hAnsi="Verdana"/>
          <w:sz w:val="20"/>
          <w:szCs w:val="24"/>
        </w:rPr>
        <w:t xml:space="preserve">proceeded </w:t>
      </w:r>
      <w:r w:rsidR="00B255AB" w:rsidRPr="00B37972">
        <w:rPr>
          <w:rFonts w:ascii="Verdana" w:hAnsi="Verdana"/>
          <w:sz w:val="20"/>
          <w:szCs w:val="24"/>
        </w:rPr>
        <w:t>to</w:t>
      </w:r>
      <w:r w:rsidR="00B37972" w:rsidRPr="00B37972">
        <w:rPr>
          <w:rFonts w:ascii="Verdana" w:hAnsi="Verdana"/>
          <w:sz w:val="20"/>
          <w:szCs w:val="24"/>
        </w:rPr>
        <w:t xml:space="preserve"> </w:t>
      </w:r>
      <w:r w:rsidR="00645B87" w:rsidRPr="00B37972">
        <w:rPr>
          <w:rFonts w:ascii="Verdana" w:hAnsi="Verdana"/>
          <w:sz w:val="20"/>
          <w:szCs w:val="24"/>
        </w:rPr>
        <w:t>adopt several new GEOs</w:t>
      </w:r>
      <w:r w:rsidR="00645B87" w:rsidRPr="00B37972">
        <w:rPr>
          <w:rFonts w:ascii="Verdana" w:hAnsi="Verdana"/>
          <w:sz w:val="20"/>
          <w:szCs w:val="24"/>
          <w:vertAlign w:val="superscript"/>
        </w:rPr>
        <w:footnoteReference w:id="10"/>
      </w:r>
      <w:r w:rsidR="00645B87" w:rsidRPr="00B37972">
        <w:rPr>
          <w:rFonts w:ascii="Verdana" w:hAnsi="Verdana"/>
          <w:sz w:val="20"/>
          <w:szCs w:val="24"/>
        </w:rPr>
        <w:t xml:space="preserve"> </w:t>
      </w:r>
      <w:r w:rsidR="003D547C" w:rsidRPr="00B37972">
        <w:rPr>
          <w:rFonts w:ascii="Verdana" w:hAnsi="Verdana"/>
          <w:sz w:val="20"/>
          <w:szCs w:val="24"/>
        </w:rPr>
        <w:t xml:space="preserve">with </w:t>
      </w:r>
      <w:r w:rsidR="00645B87" w:rsidRPr="00B37972">
        <w:rPr>
          <w:rFonts w:ascii="Verdana" w:hAnsi="Verdana"/>
          <w:sz w:val="20"/>
          <w:szCs w:val="24"/>
        </w:rPr>
        <w:t>substantial amendments to legislation concerning the judiciary and prosecution</w:t>
      </w:r>
      <w:r w:rsidR="003D547C" w:rsidRPr="00B37972">
        <w:rPr>
          <w:rFonts w:ascii="Verdana" w:hAnsi="Verdana"/>
          <w:sz w:val="20"/>
          <w:szCs w:val="24"/>
        </w:rPr>
        <w:t xml:space="preserve"> (for detailed analysis, see paragraphs</w:t>
      </w:r>
      <w:r w:rsidR="005D6870">
        <w:rPr>
          <w:rFonts w:ascii="Verdana" w:hAnsi="Verdana"/>
          <w:sz w:val="20"/>
          <w:szCs w:val="24"/>
        </w:rPr>
        <w:t xml:space="preserve"> 7-14</w:t>
      </w:r>
      <w:r w:rsidR="003D547C" w:rsidRPr="00B37972">
        <w:rPr>
          <w:rFonts w:ascii="Verdana" w:hAnsi="Verdana"/>
          <w:sz w:val="20"/>
          <w:szCs w:val="24"/>
        </w:rPr>
        <w:t xml:space="preserve"> of the Interim Compliance Report</w:t>
      </w:r>
      <w:r w:rsidR="003F67AC" w:rsidRPr="00B37972">
        <w:rPr>
          <w:rFonts w:ascii="Verdana" w:hAnsi="Verdana"/>
          <w:sz w:val="20"/>
          <w:szCs w:val="24"/>
        </w:rPr>
        <w:t xml:space="preserve"> (GrecoRC4(2019)11</w:t>
      </w:r>
      <w:r w:rsidR="003D547C" w:rsidRPr="00B37972">
        <w:rPr>
          <w:rFonts w:ascii="Verdana" w:hAnsi="Verdana"/>
          <w:sz w:val="20"/>
          <w:szCs w:val="24"/>
        </w:rPr>
        <w:t>)</w:t>
      </w:r>
      <w:r w:rsidR="00645B87" w:rsidRPr="00B37972">
        <w:rPr>
          <w:rFonts w:ascii="Verdana" w:hAnsi="Verdana"/>
          <w:sz w:val="20"/>
          <w:szCs w:val="24"/>
        </w:rPr>
        <w:t>.</w:t>
      </w:r>
      <w:r w:rsidR="00EC093E" w:rsidRPr="00B37972">
        <w:rPr>
          <w:rFonts w:ascii="Verdana" w:hAnsi="Verdana"/>
          <w:sz w:val="20"/>
          <w:szCs w:val="24"/>
        </w:rPr>
        <w:t xml:space="preserve"> </w:t>
      </w:r>
    </w:p>
    <w:p w:rsidR="00963275" w:rsidRPr="00B37972" w:rsidRDefault="00963275" w:rsidP="00B37972">
      <w:pPr>
        <w:pStyle w:val="Listparagraf"/>
        <w:tabs>
          <w:tab w:val="left" w:pos="567"/>
        </w:tabs>
        <w:suppressAutoHyphens w:val="0"/>
        <w:spacing w:after="0" w:line="240" w:lineRule="auto"/>
        <w:ind w:left="0"/>
        <w:jc w:val="both"/>
        <w:rPr>
          <w:rFonts w:ascii="Verdana" w:hAnsi="Verdana"/>
          <w:sz w:val="20"/>
          <w:szCs w:val="24"/>
        </w:rPr>
      </w:pPr>
    </w:p>
    <w:p w:rsidR="00E304A3" w:rsidRPr="00B37972" w:rsidRDefault="00EC093E"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u w:val="single"/>
        </w:rPr>
        <w:t>GRECO</w:t>
      </w:r>
      <w:r w:rsidR="003D547C" w:rsidRPr="00B37972">
        <w:rPr>
          <w:rFonts w:ascii="Verdana" w:hAnsi="Verdana"/>
          <w:sz w:val="20"/>
          <w:szCs w:val="24"/>
          <w:u w:val="single"/>
        </w:rPr>
        <w:t xml:space="preserve"> will </w:t>
      </w:r>
      <w:r w:rsidRPr="00B37972">
        <w:rPr>
          <w:rFonts w:ascii="Verdana" w:hAnsi="Verdana"/>
          <w:sz w:val="20"/>
          <w:szCs w:val="24"/>
          <w:u w:val="single"/>
        </w:rPr>
        <w:t xml:space="preserve">continue assessing the implementation of this recommendation </w:t>
      </w:r>
      <w:r w:rsidR="00417681" w:rsidRPr="00B37972">
        <w:rPr>
          <w:rFonts w:ascii="Verdana" w:hAnsi="Verdana"/>
          <w:sz w:val="20"/>
          <w:szCs w:val="24"/>
          <w:u w:val="single"/>
        </w:rPr>
        <w:t>within</w:t>
      </w:r>
      <w:r w:rsidRPr="00B37972">
        <w:rPr>
          <w:rFonts w:ascii="Verdana" w:hAnsi="Verdana"/>
          <w:sz w:val="20"/>
          <w:szCs w:val="24"/>
          <w:u w:val="single"/>
        </w:rPr>
        <w:t xml:space="preserve"> the framework of the on-going compliance procedure under the Fourth Evaluation Round</w:t>
      </w:r>
      <w:r w:rsidR="00645B87" w:rsidRPr="00B37972">
        <w:rPr>
          <w:rFonts w:ascii="Verdana" w:hAnsi="Verdana"/>
          <w:sz w:val="20"/>
          <w:szCs w:val="24"/>
        </w:rPr>
        <w:t>.</w:t>
      </w:r>
    </w:p>
    <w:p w:rsidR="00E304A3" w:rsidRPr="00B37972" w:rsidRDefault="00E304A3" w:rsidP="00B37972">
      <w:pPr>
        <w:pStyle w:val="Listparagraf"/>
        <w:tabs>
          <w:tab w:val="left" w:pos="567"/>
        </w:tabs>
        <w:suppressAutoHyphens w:val="0"/>
        <w:spacing w:after="0" w:line="240" w:lineRule="auto"/>
        <w:ind w:left="0"/>
        <w:jc w:val="both"/>
        <w:rPr>
          <w:rFonts w:ascii="Verdana" w:hAnsi="Verdana"/>
          <w:sz w:val="20"/>
          <w:szCs w:val="24"/>
        </w:rPr>
      </w:pPr>
    </w:p>
    <w:p w:rsidR="00D12937" w:rsidRPr="00B37972" w:rsidRDefault="00D12937" w:rsidP="00B37972">
      <w:pPr>
        <w:suppressAutoHyphens w:val="0"/>
        <w:spacing w:after="0" w:line="240" w:lineRule="auto"/>
        <w:jc w:val="both"/>
        <w:rPr>
          <w:rFonts w:ascii="Verdana" w:eastAsiaTheme="minorHAnsi" w:hAnsi="Verdana" w:cstheme="minorBidi"/>
          <w:iCs/>
          <w:sz w:val="20"/>
          <w:szCs w:val="24"/>
          <w:u w:val="single"/>
          <w:lang w:eastAsia="en-US"/>
        </w:rPr>
      </w:pPr>
      <w:r w:rsidRPr="00B37972">
        <w:rPr>
          <w:rFonts w:ascii="Verdana" w:eastAsiaTheme="minorHAnsi" w:hAnsi="Verdana" w:cstheme="minorBidi"/>
          <w:iCs/>
          <w:sz w:val="20"/>
          <w:szCs w:val="24"/>
          <w:u w:val="single"/>
          <w:lang w:eastAsia="en-US"/>
        </w:rPr>
        <w:t>Particular concerns raised by amendments to the three justice laws</w:t>
      </w:r>
    </w:p>
    <w:p w:rsidR="00D12937" w:rsidRPr="00B37972" w:rsidRDefault="00D12937" w:rsidP="00B37972">
      <w:pPr>
        <w:pStyle w:val="Listparagraf"/>
        <w:tabs>
          <w:tab w:val="left" w:pos="567"/>
        </w:tabs>
        <w:suppressAutoHyphens w:val="0"/>
        <w:spacing w:after="0" w:line="240" w:lineRule="auto"/>
        <w:ind w:left="0"/>
        <w:jc w:val="both"/>
        <w:rPr>
          <w:rFonts w:ascii="Verdana" w:hAnsi="Verdana"/>
          <w:sz w:val="20"/>
          <w:szCs w:val="24"/>
        </w:rPr>
      </w:pPr>
    </w:p>
    <w:p w:rsidR="00A740A4" w:rsidRPr="00B37972" w:rsidRDefault="003D547C"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rPr>
        <w:t xml:space="preserve">It is recalled that </w:t>
      </w:r>
      <w:r w:rsidR="00EC093E" w:rsidRPr="00B37972">
        <w:rPr>
          <w:rFonts w:ascii="Verdana" w:hAnsi="Verdana"/>
          <w:sz w:val="20"/>
          <w:szCs w:val="24"/>
        </w:rPr>
        <w:t>t</w:t>
      </w:r>
      <w:r w:rsidR="00D12937" w:rsidRPr="00B37972">
        <w:rPr>
          <w:rFonts w:ascii="Verdana" w:hAnsi="Verdana"/>
          <w:sz w:val="20"/>
          <w:szCs w:val="24"/>
        </w:rPr>
        <w:t>he amendments t</w:t>
      </w:r>
      <w:r w:rsidR="006A786A" w:rsidRPr="00B37972">
        <w:rPr>
          <w:rFonts w:ascii="Verdana" w:hAnsi="Verdana"/>
          <w:sz w:val="20"/>
          <w:szCs w:val="24"/>
        </w:rPr>
        <w:t>o Law no. 303/2004 on the statute</w:t>
      </w:r>
      <w:r w:rsidR="00D12937" w:rsidRPr="00B37972">
        <w:rPr>
          <w:rFonts w:ascii="Verdana" w:hAnsi="Verdana"/>
          <w:sz w:val="20"/>
          <w:szCs w:val="24"/>
        </w:rPr>
        <w:t xml:space="preserve"> of judges and prosecutors, Law no. 304/2004 on judicial organisation and Law no. 317/2004 on the Superior Council of Magistracy </w:t>
      </w:r>
      <w:r w:rsidR="00EC093E" w:rsidRPr="00B37972">
        <w:rPr>
          <w:rFonts w:ascii="Verdana" w:hAnsi="Verdana"/>
          <w:sz w:val="20"/>
          <w:szCs w:val="24"/>
        </w:rPr>
        <w:t xml:space="preserve">entered into force </w:t>
      </w:r>
      <w:r w:rsidR="00A56259" w:rsidRPr="00B37972">
        <w:rPr>
          <w:rFonts w:ascii="Verdana" w:hAnsi="Verdana"/>
          <w:sz w:val="20"/>
          <w:szCs w:val="24"/>
        </w:rPr>
        <w:t xml:space="preserve">on </w:t>
      </w:r>
      <w:r w:rsidR="00E7376A">
        <w:rPr>
          <w:rFonts w:ascii="Verdana" w:hAnsi="Verdana"/>
          <w:sz w:val="20"/>
          <w:szCs w:val="24"/>
        </w:rPr>
        <w:t>18</w:t>
      </w:r>
      <w:r w:rsidR="00E7376A" w:rsidRPr="00B37972">
        <w:rPr>
          <w:rFonts w:ascii="Verdana" w:hAnsi="Verdana"/>
          <w:sz w:val="20"/>
          <w:szCs w:val="24"/>
        </w:rPr>
        <w:t xml:space="preserve"> </w:t>
      </w:r>
      <w:r w:rsidR="00EC093E" w:rsidRPr="00B37972">
        <w:rPr>
          <w:rFonts w:ascii="Verdana" w:hAnsi="Verdana"/>
          <w:sz w:val="20"/>
          <w:szCs w:val="24"/>
        </w:rPr>
        <w:t xml:space="preserve">October, </w:t>
      </w:r>
      <w:r w:rsidR="00E7376A">
        <w:rPr>
          <w:rFonts w:ascii="Verdana" w:hAnsi="Verdana"/>
          <w:sz w:val="20"/>
          <w:szCs w:val="24"/>
        </w:rPr>
        <w:t>23</w:t>
      </w:r>
      <w:r w:rsidR="00E7376A" w:rsidRPr="00B37972">
        <w:rPr>
          <w:rFonts w:ascii="Verdana" w:hAnsi="Verdana"/>
          <w:sz w:val="20"/>
          <w:szCs w:val="24"/>
        </w:rPr>
        <w:t xml:space="preserve"> </w:t>
      </w:r>
      <w:r w:rsidR="00EC093E" w:rsidRPr="00B37972">
        <w:rPr>
          <w:rFonts w:ascii="Verdana" w:hAnsi="Verdana"/>
          <w:sz w:val="20"/>
          <w:szCs w:val="24"/>
        </w:rPr>
        <w:t>July and 11 October 2018, respectively</w:t>
      </w:r>
      <w:r w:rsidR="00D250A0" w:rsidRPr="00B37972">
        <w:rPr>
          <w:rFonts w:ascii="Verdana" w:hAnsi="Verdana"/>
          <w:sz w:val="20"/>
          <w:szCs w:val="24"/>
        </w:rPr>
        <w:t>.</w:t>
      </w:r>
    </w:p>
    <w:p w:rsidR="00A740A4" w:rsidRPr="00B37972" w:rsidRDefault="00A740A4" w:rsidP="00B37972">
      <w:pPr>
        <w:pStyle w:val="Listparagraf"/>
        <w:tabs>
          <w:tab w:val="left" w:pos="567"/>
        </w:tabs>
        <w:suppressAutoHyphens w:val="0"/>
        <w:spacing w:after="0" w:line="240" w:lineRule="auto"/>
        <w:ind w:left="0"/>
        <w:jc w:val="both"/>
        <w:rPr>
          <w:rFonts w:ascii="Verdana" w:hAnsi="Verdana"/>
          <w:sz w:val="20"/>
          <w:szCs w:val="24"/>
        </w:rPr>
      </w:pPr>
    </w:p>
    <w:p w:rsidR="00D12937" w:rsidRPr="00B37972" w:rsidRDefault="00D12937" w:rsidP="00B37972">
      <w:pPr>
        <w:pStyle w:val="Listparagraf"/>
        <w:numPr>
          <w:ilvl w:val="0"/>
          <w:numId w:val="3"/>
        </w:numPr>
        <w:suppressAutoHyphens w:val="0"/>
        <w:spacing w:after="0" w:line="240" w:lineRule="auto"/>
        <w:jc w:val="both"/>
        <w:rPr>
          <w:rFonts w:ascii="Verdana" w:hAnsi="Verdana"/>
          <w:i/>
          <w:sz w:val="20"/>
          <w:szCs w:val="24"/>
        </w:rPr>
      </w:pPr>
      <w:r w:rsidRPr="00B37972">
        <w:rPr>
          <w:rFonts w:ascii="Verdana" w:hAnsi="Verdana"/>
          <w:i/>
          <w:sz w:val="20"/>
          <w:szCs w:val="24"/>
        </w:rPr>
        <w:t>Risks of drainage in the magistracy</w:t>
      </w:r>
      <w:r w:rsidR="00953B56" w:rsidRPr="00B37972">
        <w:rPr>
          <w:rFonts w:ascii="Verdana" w:hAnsi="Verdana"/>
          <w:i/>
          <w:sz w:val="20"/>
          <w:szCs w:val="24"/>
        </w:rPr>
        <w:t xml:space="preserve"> and</w:t>
      </w:r>
      <w:r w:rsidRPr="00B37972">
        <w:rPr>
          <w:rFonts w:ascii="Verdana" w:hAnsi="Verdana"/>
          <w:i/>
          <w:sz w:val="20"/>
          <w:szCs w:val="24"/>
        </w:rPr>
        <w:t xml:space="preserve"> of arbitrariness in promotions</w:t>
      </w:r>
    </w:p>
    <w:p w:rsidR="00D12937" w:rsidRPr="00B37972" w:rsidRDefault="00D12937" w:rsidP="00B37972">
      <w:pPr>
        <w:pStyle w:val="Listparagraf"/>
        <w:tabs>
          <w:tab w:val="left" w:pos="567"/>
        </w:tabs>
        <w:suppressAutoHyphens w:val="0"/>
        <w:spacing w:after="0" w:line="240" w:lineRule="auto"/>
        <w:ind w:left="0"/>
        <w:jc w:val="both"/>
        <w:rPr>
          <w:rFonts w:ascii="Verdana" w:hAnsi="Verdana"/>
          <w:sz w:val="20"/>
          <w:szCs w:val="24"/>
        </w:rPr>
      </w:pPr>
    </w:p>
    <w:p w:rsidR="00FC61FF" w:rsidRPr="00B37972" w:rsidRDefault="006F58B5"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rPr>
        <w:t xml:space="preserve">In the Ad hoc Report, </w:t>
      </w:r>
      <w:r w:rsidR="00D12937" w:rsidRPr="00B37972">
        <w:rPr>
          <w:rFonts w:ascii="Verdana" w:hAnsi="Verdana"/>
          <w:i/>
          <w:sz w:val="20"/>
          <w:szCs w:val="24"/>
        </w:rPr>
        <w:t xml:space="preserve">GRECO </w:t>
      </w:r>
      <w:r w:rsidR="00254609" w:rsidRPr="00B37972">
        <w:rPr>
          <w:rFonts w:ascii="Verdana" w:hAnsi="Verdana"/>
          <w:i/>
          <w:sz w:val="20"/>
          <w:szCs w:val="24"/>
        </w:rPr>
        <w:t>recommend</w:t>
      </w:r>
      <w:r w:rsidRPr="00B37972">
        <w:rPr>
          <w:rFonts w:ascii="Verdana" w:hAnsi="Verdana"/>
          <w:i/>
          <w:sz w:val="20"/>
          <w:szCs w:val="24"/>
        </w:rPr>
        <w:t>ed</w:t>
      </w:r>
      <w:r w:rsidR="00254609" w:rsidRPr="00B37972">
        <w:rPr>
          <w:rFonts w:ascii="Verdana" w:hAnsi="Verdana"/>
          <w:i/>
          <w:sz w:val="20"/>
          <w:szCs w:val="24"/>
        </w:rPr>
        <w:t xml:space="preserve"> </w:t>
      </w:r>
      <w:r w:rsidR="00D12937" w:rsidRPr="00B37972">
        <w:rPr>
          <w:rFonts w:ascii="Verdana" w:hAnsi="Verdana"/>
          <w:i/>
          <w:sz w:val="20"/>
          <w:szCs w:val="24"/>
        </w:rPr>
        <w:t xml:space="preserve">that </w:t>
      </w:r>
      <w:r w:rsidR="008D50E2" w:rsidRPr="00B37972">
        <w:rPr>
          <w:rFonts w:ascii="Verdana" w:hAnsi="Verdana"/>
          <w:i/>
          <w:sz w:val="20"/>
          <w:szCs w:val="24"/>
        </w:rPr>
        <w:t xml:space="preserve">i) </w:t>
      </w:r>
      <w:r w:rsidR="00D12937" w:rsidRPr="00B37972">
        <w:rPr>
          <w:rFonts w:ascii="Verdana" w:hAnsi="Verdana"/>
          <w:i/>
          <w:sz w:val="20"/>
          <w:szCs w:val="24"/>
        </w:rPr>
        <w:t>the impact of the changes on the future staff structure of the courts and prosecution services be properly assessed so that the necessary transitional measures be taken</w:t>
      </w:r>
      <w:r w:rsidR="00D06903" w:rsidRPr="00B37972">
        <w:rPr>
          <w:rFonts w:ascii="Verdana" w:hAnsi="Verdana"/>
          <w:i/>
          <w:sz w:val="20"/>
          <w:szCs w:val="24"/>
        </w:rPr>
        <w:t xml:space="preserve"> and ii) </w:t>
      </w:r>
      <w:r w:rsidR="00316064" w:rsidRPr="00B37972">
        <w:rPr>
          <w:rFonts w:ascii="Verdana" w:hAnsi="Verdana"/>
          <w:i/>
          <w:sz w:val="20"/>
          <w:szCs w:val="24"/>
        </w:rPr>
        <w:t xml:space="preserve">the implementing rules to be adopted by the </w:t>
      </w:r>
      <w:r w:rsidR="00776970" w:rsidRPr="00B37972">
        <w:rPr>
          <w:rFonts w:ascii="Verdana" w:hAnsi="Verdana"/>
          <w:i/>
          <w:sz w:val="20"/>
          <w:szCs w:val="24"/>
        </w:rPr>
        <w:t>SCM</w:t>
      </w:r>
      <w:r w:rsidR="00F37101" w:rsidRPr="00B37972">
        <w:rPr>
          <w:rFonts w:ascii="Verdana" w:hAnsi="Verdana"/>
          <w:i/>
          <w:sz w:val="20"/>
          <w:szCs w:val="24"/>
        </w:rPr>
        <w:t xml:space="preserve"> for the future decisions on appointments of </w:t>
      </w:r>
      <w:r w:rsidR="00D428CB" w:rsidRPr="00B37972">
        <w:rPr>
          <w:rFonts w:ascii="Verdana" w:hAnsi="Verdana"/>
          <w:i/>
          <w:sz w:val="20"/>
          <w:szCs w:val="24"/>
        </w:rPr>
        <w:t xml:space="preserve">judges and prosecutors </w:t>
      </w:r>
      <w:r w:rsidR="00D12937" w:rsidRPr="00B37972">
        <w:rPr>
          <w:rFonts w:ascii="Verdana" w:hAnsi="Verdana"/>
          <w:i/>
          <w:sz w:val="20"/>
          <w:szCs w:val="24"/>
        </w:rPr>
        <w:t>to a higher position</w:t>
      </w:r>
      <w:r w:rsidR="00F37101" w:rsidRPr="00B37972">
        <w:rPr>
          <w:rFonts w:ascii="Verdana" w:hAnsi="Verdana"/>
          <w:i/>
          <w:sz w:val="20"/>
          <w:szCs w:val="24"/>
        </w:rPr>
        <w:t xml:space="preserve"> provide for adequate</w:t>
      </w:r>
      <w:r w:rsidR="00507C54" w:rsidRPr="00B37972">
        <w:rPr>
          <w:rFonts w:ascii="Verdana" w:hAnsi="Verdana"/>
          <w:i/>
          <w:sz w:val="20"/>
          <w:szCs w:val="24"/>
        </w:rPr>
        <w:t>,</w:t>
      </w:r>
      <w:r w:rsidR="00F37101" w:rsidRPr="00B37972">
        <w:rPr>
          <w:rFonts w:ascii="Verdana" w:hAnsi="Verdana"/>
          <w:i/>
          <w:sz w:val="20"/>
          <w:szCs w:val="24"/>
        </w:rPr>
        <w:t xml:space="preserve"> objective and clear criteria </w:t>
      </w:r>
      <w:r w:rsidR="00D12937" w:rsidRPr="00B37972">
        <w:rPr>
          <w:rFonts w:ascii="Verdana" w:hAnsi="Verdana"/>
          <w:i/>
          <w:sz w:val="20"/>
          <w:szCs w:val="24"/>
        </w:rPr>
        <w:t>taking into account the actual merit and qualifications</w:t>
      </w:r>
      <w:r w:rsidR="003D547C" w:rsidRPr="00B37972">
        <w:rPr>
          <w:rFonts w:ascii="Verdana" w:hAnsi="Verdana"/>
          <w:sz w:val="20"/>
          <w:szCs w:val="24"/>
        </w:rPr>
        <w:t xml:space="preserve"> (recommendation i)</w:t>
      </w:r>
      <w:r w:rsidR="00D12937" w:rsidRPr="00B37972">
        <w:rPr>
          <w:rFonts w:ascii="Verdana" w:hAnsi="Verdana"/>
          <w:i/>
          <w:sz w:val="20"/>
          <w:szCs w:val="24"/>
        </w:rPr>
        <w:t>.</w:t>
      </w:r>
    </w:p>
    <w:p w:rsidR="00FC61FF" w:rsidRPr="00B37972" w:rsidRDefault="00FC61FF" w:rsidP="00B37972">
      <w:pPr>
        <w:pStyle w:val="Listparagraf"/>
        <w:tabs>
          <w:tab w:val="left" w:pos="567"/>
        </w:tabs>
        <w:suppressAutoHyphens w:val="0"/>
        <w:spacing w:after="0" w:line="240" w:lineRule="auto"/>
        <w:ind w:left="0"/>
        <w:jc w:val="both"/>
        <w:rPr>
          <w:rFonts w:ascii="Verdana" w:hAnsi="Verdana"/>
          <w:sz w:val="20"/>
          <w:szCs w:val="24"/>
        </w:rPr>
      </w:pPr>
    </w:p>
    <w:p w:rsidR="00AD5F06" w:rsidRPr="00B37972" w:rsidRDefault="00FC61FF"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u w:val="single"/>
        </w:rPr>
        <w:t>GRECO</w:t>
      </w:r>
      <w:r w:rsidRPr="00B37972">
        <w:rPr>
          <w:rFonts w:ascii="Verdana" w:hAnsi="Verdana"/>
          <w:sz w:val="20"/>
          <w:szCs w:val="24"/>
        </w:rPr>
        <w:t xml:space="preserve"> recalls that this recommendation was linked to the need to address the risk that changes pertaining to the recruitment and retirement of judges and prosecutors may have had a significant impact on the work force and the general capacities of courts and prosecutorial bodies. In particular, GRECO took the view that these changes could lead to backlogs of cases, dismissal of cases due to the statute of limitations and delays in administering justice. Regarding promotions, in GRECO’s opinion, the proposed amendments contained a proportion of subjectivity in the selection and decision process, and would leave more room for personal or political influence in career decisions, which could impact the neutrality and integrity of the justice system.</w:t>
      </w:r>
    </w:p>
    <w:p w:rsidR="00D12937" w:rsidRPr="00B37972" w:rsidRDefault="00D12937" w:rsidP="00B37972">
      <w:pPr>
        <w:suppressAutoHyphens w:val="0"/>
        <w:spacing w:after="0" w:line="240" w:lineRule="auto"/>
        <w:jc w:val="both"/>
        <w:rPr>
          <w:rFonts w:ascii="Verdana" w:hAnsi="Verdana"/>
          <w:b/>
          <w:sz w:val="20"/>
          <w:szCs w:val="24"/>
        </w:rPr>
      </w:pPr>
    </w:p>
    <w:p w:rsidR="003E1F58" w:rsidRPr="00B37972" w:rsidRDefault="001A28E4" w:rsidP="00B37972">
      <w:pPr>
        <w:pStyle w:val="Listparagraf"/>
        <w:numPr>
          <w:ilvl w:val="0"/>
          <w:numId w:val="5"/>
        </w:numPr>
        <w:tabs>
          <w:tab w:val="left" w:pos="567"/>
        </w:tabs>
        <w:suppressAutoHyphens w:val="0"/>
        <w:spacing w:after="0" w:line="240" w:lineRule="auto"/>
        <w:ind w:left="0" w:firstLine="0"/>
        <w:jc w:val="both"/>
        <w:rPr>
          <w:rFonts w:ascii="Verdana" w:hAnsi="Verdana"/>
          <w:sz w:val="20"/>
        </w:rPr>
      </w:pPr>
      <w:r w:rsidRPr="00B37972">
        <w:rPr>
          <w:rFonts w:ascii="Verdana" w:hAnsi="Verdana"/>
          <w:sz w:val="20"/>
          <w:u w:val="single"/>
        </w:rPr>
        <w:t>The Romanian authorities</w:t>
      </w:r>
      <w:r w:rsidR="00DA2A0F" w:rsidRPr="00B37972">
        <w:rPr>
          <w:rFonts w:ascii="Verdana" w:hAnsi="Verdana"/>
          <w:sz w:val="20"/>
        </w:rPr>
        <w:t xml:space="preserve"> </w:t>
      </w:r>
      <w:r w:rsidR="003D547C" w:rsidRPr="00B37972">
        <w:rPr>
          <w:rFonts w:ascii="Verdana" w:hAnsi="Verdana"/>
          <w:sz w:val="20"/>
        </w:rPr>
        <w:t xml:space="preserve">report </w:t>
      </w:r>
      <w:r w:rsidR="00DA2A0F" w:rsidRPr="00B37972">
        <w:rPr>
          <w:rFonts w:ascii="Verdana" w:hAnsi="Verdana"/>
          <w:sz w:val="20"/>
        </w:rPr>
        <w:t>in relation to the first part of this recommendation,</w:t>
      </w:r>
      <w:r w:rsidRPr="00B37972">
        <w:rPr>
          <w:rFonts w:ascii="Verdana" w:hAnsi="Verdana"/>
          <w:sz w:val="20"/>
        </w:rPr>
        <w:t xml:space="preserve"> that </w:t>
      </w:r>
      <w:r w:rsidR="007F3A00" w:rsidRPr="00B37972">
        <w:rPr>
          <w:rFonts w:ascii="Verdana" w:hAnsi="Verdana"/>
          <w:sz w:val="20"/>
        </w:rPr>
        <w:t xml:space="preserve">an early retirement system </w:t>
      </w:r>
      <w:r w:rsidR="004D69CC" w:rsidRPr="00B37972">
        <w:rPr>
          <w:rFonts w:ascii="Verdana" w:hAnsi="Verdana"/>
          <w:sz w:val="20"/>
        </w:rPr>
        <w:t xml:space="preserve">was </w:t>
      </w:r>
      <w:r w:rsidR="007F3A00" w:rsidRPr="00B37972">
        <w:rPr>
          <w:rFonts w:ascii="Verdana" w:hAnsi="Verdana"/>
          <w:sz w:val="20"/>
        </w:rPr>
        <w:t xml:space="preserve">introduced through amendments to Article 82, paragraph 3 of </w:t>
      </w:r>
      <w:r w:rsidRPr="00B37972">
        <w:rPr>
          <w:rFonts w:ascii="Verdana" w:hAnsi="Verdana"/>
          <w:sz w:val="20"/>
        </w:rPr>
        <w:t>Law no. 303/2004</w:t>
      </w:r>
      <w:r w:rsidR="007F3A00" w:rsidRPr="00B37972">
        <w:rPr>
          <w:rFonts w:ascii="Verdana" w:hAnsi="Verdana"/>
          <w:sz w:val="20"/>
        </w:rPr>
        <w:t>.</w:t>
      </w:r>
      <w:r w:rsidRPr="00B37972">
        <w:rPr>
          <w:rStyle w:val="Referinnotdesubsol"/>
          <w:rFonts w:ascii="Verdana" w:hAnsi="Verdana"/>
          <w:sz w:val="20"/>
        </w:rPr>
        <w:footnoteReference w:id="11"/>
      </w:r>
      <w:r w:rsidRPr="00B37972">
        <w:rPr>
          <w:rFonts w:ascii="Verdana" w:hAnsi="Verdana"/>
          <w:sz w:val="20"/>
        </w:rPr>
        <w:t xml:space="preserve"> According to </w:t>
      </w:r>
      <w:r w:rsidR="007F3A00" w:rsidRPr="00B37972">
        <w:rPr>
          <w:rFonts w:ascii="Verdana" w:hAnsi="Verdana"/>
          <w:sz w:val="20"/>
        </w:rPr>
        <w:t xml:space="preserve">this </w:t>
      </w:r>
      <w:r w:rsidRPr="00B37972">
        <w:rPr>
          <w:rFonts w:ascii="Verdana" w:hAnsi="Verdana"/>
          <w:sz w:val="20"/>
        </w:rPr>
        <w:t xml:space="preserve">amendment, judges, prosecutors and </w:t>
      </w:r>
      <w:r w:rsidRPr="00B37972">
        <w:rPr>
          <w:rFonts w:ascii="Verdana" w:hAnsi="Verdana"/>
          <w:sz w:val="20"/>
        </w:rPr>
        <w:lastRenderedPageBreak/>
        <w:t xml:space="preserve">assistant magistrates </w:t>
      </w:r>
      <w:r w:rsidR="00027BD1" w:rsidRPr="00B37972">
        <w:rPr>
          <w:rFonts w:ascii="Verdana" w:hAnsi="Verdana"/>
          <w:sz w:val="20"/>
        </w:rPr>
        <w:t xml:space="preserve">of </w:t>
      </w:r>
      <w:r w:rsidRPr="00B37972">
        <w:rPr>
          <w:rFonts w:ascii="Verdana" w:hAnsi="Verdana"/>
          <w:sz w:val="20"/>
        </w:rPr>
        <w:t xml:space="preserve">the High Court of Cassation and Justice and judges and assistant magistrates from the Constitutional Court with 20 </w:t>
      </w:r>
      <w:r w:rsidR="00027BD1" w:rsidRPr="00B37972">
        <w:rPr>
          <w:rFonts w:ascii="Verdana" w:hAnsi="Verdana"/>
          <w:sz w:val="20"/>
        </w:rPr>
        <w:t xml:space="preserve">to </w:t>
      </w:r>
      <w:r w:rsidRPr="00B37972">
        <w:rPr>
          <w:rFonts w:ascii="Verdana" w:hAnsi="Verdana"/>
          <w:sz w:val="20"/>
        </w:rPr>
        <w:t>25 years</w:t>
      </w:r>
      <w:r w:rsidR="00027BD1" w:rsidRPr="00B37972">
        <w:rPr>
          <w:rFonts w:ascii="Verdana" w:hAnsi="Verdana"/>
          <w:sz w:val="20"/>
        </w:rPr>
        <w:t>’ service</w:t>
      </w:r>
      <w:r w:rsidRPr="00B37972">
        <w:rPr>
          <w:rFonts w:ascii="Verdana" w:hAnsi="Verdana"/>
          <w:sz w:val="20"/>
        </w:rPr>
        <w:t xml:space="preserve"> </w:t>
      </w:r>
      <w:r w:rsidR="00027BD1" w:rsidRPr="00B37972">
        <w:rPr>
          <w:rFonts w:ascii="Verdana" w:hAnsi="Verdana"/>
          <w:sz w:val="20"/>
        </w:rPr>
        <w:t>may</w:t>
      </w:r>
      <w:r w:rsidR="003D547C" w:rsidRPr="00B37972">
        <w:rPr>
          <w:rFonts w:ascii="Verdana" w:hAnsi="Verdana"/>
          <w:sz w:val="20"/>
        </w:rPr>
        <w:t>,</w:t>
      </w:r>
      <w:r w:rsidR="00027BD1" w:rsidRPr="00B37972">
        <w:rPr>
          <w:rFonts w:ascii="Verdana" w:hAnsi="Verdana"/>
          <w:sz w:val="20"/>
        </w:rPr>
        <w:t xml:space="preserve"> </w:t>
      </w:r>
      <w:r w:rsidR="00DA2A0F" w:rsidRPr="00B37972">
        <w:rPr>
          <w:rFonts w:ascii="Verdana" w:hAnsi="Verdana"/>
          <w:sz w:val="20"/>
        </w:rPr>
        <w:t>upon their request</w:t>
      </w:r>
      <w:r w:rsidR="003D547C" w:rsidRPr="00B37972">
        <w:rPr>
          <w:rFonts w:ascii="Verdana" w:hAnsi="Verdana"/>
          <w:sz w:val="20"/>
        </w:rPr>
        <w:t>,</w:t>
      </w:r>
      <w:r w:rsidR="00DA2A0F" w:rsidRPr="00B37972">
        <w:rPr>
          <w:rFonts w:ascii="Verdana" w:hAnsi="Verdana"/>
          <w:sz w:val="20"/>
        </w:rPr>
        <w:t xml:space="preserve"> </w:t>
      </w:r>
      <w:r w:rsidRPr="00B37972">
        <w:rPr>
          <w:rFonts w:ascii="Verdana" w:hAnsi="Verdana"/>
          <w:sz w:val="20"/>
        </w:rPr>
        <w:t>benefit</w:t>
      </w:r>
      <w:r w:rsidR="00DA2A0F" w:rsidRPr="00B37972">
        <w:rPr>
          <w:rFonts w:ascii="Verdana" w:hAnsi="Verdana"/>
          <w:sz w:val="20"/>
        </w:rPr>
        <w:t xml:space="preserve"> </w:t>
      </w:r>
      <w:r w:rsidR="00027BD1" w:rsidRPr="00B37972">
        <w:rPr>
          <w:rFonts w:ascii="Verdana" w:hAnsi="Verdana"/>
          <w:sz w:val="20"/>
        </w:rPr>
        <w:t xml:space="preserve">from </w:t>
      </w:r>
      <w:r w:rsidRPr="00B37972">
        <w:rPr>
          <w:rFonts w:ascii="Verdana" w:hAnsi="Verdana"/>
          <w:sz w:val="20"/>
        </w:rPr>
        <w:t>the service pension</w:t>
      </w:r>
      <w:r w:rsidR="00DA2A0F" w:rsidRPr="00B37972">
        <w:rPr>
          <w:rFonts w:ascii="Verdana" w:hAnsi="Verdana"/>
          <w:sz w:val="20"/>
        </w:rPr>
        <w:t>, prior to reaching 60 years of age</w:t>
      </w:r>
      <w:r w:rsidRPr="00B37972">
        <w:rPr>
          <w:rFonts w:ascii="Verdana" w:hAnsi="Verdana"/>
          <w:sz w:val="20"/>
        </w:rPr>
        <w:t>.</w:t>
      </w:r>
      <w:r w:rsidR="00027BD1" w:rsidRPr="00B37972">
        <w:rPr>
          <w:rFonts w:ascii="Verdana" w:hAnsi="Verdana"/>
          <w:sz w:val="20"/>
        </w:rPr>
        <w:t xml:space="preserve"> </w:t>
      </w:r>
      <w:r w:rsidR="003E1F58" w:rsidRPr="00B37972">
        <w:rPr>
          <w:rFonts w:ascii="Verdana" w:hAnsi="Verdana"/>
          <w:sz w:val="20"/>
        </w:rPr>
        <w:t>T</w:t>
      </w:r>
      <w:r w:rsidR="007F3A00" w:rsidRPr="00B37972">
        <w:rPr>
          <w:rFonts w:ascii="Verdana" w:hAnsi="Verdana"/>
          <w:sz w:val="20"/>
        </w:rPr>
        <w:t xml:space="preserve">o avoid any possible shortage of human resources </w:t>
      </w:r>
      <w:r w:rsidRPr="00B37972">
        <w:rPr>
          <w:rFonts w:ascii="Verdana" w:hAnsi="Verdana"/>
          <w:sz w:val="20"/>
        </w:rPr>
        <w:t xml:space="preserve">affecting the functioning of the courts and prosecutor's offices, </w:t>
      </w:r>
      <w:r w:rsidR="007F3A00" w:rsidRPr="00B37972">
        <w:rPr>
          <w:rFonts w:ascii="Verdana" w:hAnsi="Verdana"/>
          <w:sz w:val="20"/>
        </w:rPr>
        <w:t xml:space="preserve">the Government </w:t>
      </w:r>
      <w:r w:rsidR="00027BD1" w:rsidRPr="00B37972">
        <w:rPr>
          <w:rFonts w:ascii="Verdana" w:hAnsi="Verdana"/>
          <w:sz w:val="20"/>
        </w:rPr>
        <w:t xml:space="preserve">adopted Emergency Ordinance no. </w:t>
      </w:r>
      <w:r w:rsidR="00501AC5">
        <w:rPr>
          <w:rFonts w:ascii="Verdana" w:hAnsi="Verdana"/>
          <w:sz w:val="20"/>
        </w:rPr>
        <w:t>7/2019</w:t>
      </w:r>
      <w:r w:rsidR="00027BD1" w:rsidRPr="00B37972">
        <w:rPr>
          <w:rFonts w:ascii="Verdana" w:hAnsi="Verdana"/>
          <w:sz w:val="20"/>
        </w:rPr>
        <w:t xml:space="preserve"> </w:t>
      </w:r>
      <w:r w:rsidR="003E1F58" w:rsidRPr="00B37972">
        <w:rPr>
          <w:rFonts w:ascii="Verdana" w:hAnsi="Verdana"/>
          <w:sz w:val="20"/>
        </w:rPr>
        <w:t>(</w:t>
      </w:r>
      <w:r w:rsidR="00501AC5">
        <w:rPr>
          <w:rFonts w:ascii="Verdana" w:hAnsi="Verdana"/>
          <w:sz w:val="20"/>
        </w:rPr>
        <w:t>20 February 2019</w:t>
      </w:r>
      <w:r w:rsidR="003E1F58" w:rsidRPr="00B37972">
        <w:rPr>
          <w:rFonts w:ascii="Verdana" w:hAnsi="Verdana"/>
          <w:sz w:val="20"/>
        </w:rPr>
        <w:t>),</w:t>
      </w:r>
      <w:r w:rsidR="00027BD1" w:rsidRPr="00B37972">
        <w:rPr>
          <w:rFonts w:ascii="Verdana" w:hAnsi="Verdana"/>
          <w:sz w:val="20"/>
        </w:rPr>
        <w:t xml:space="preserve"> whereby </w:t>
      </w:r>
      <w:r w:rsidR="007F3A00" w:rsidRPr="00B37972">
        <w:rPr>
          <w:rFonts w:ascii="Verdana" w:hAnsi="Verdana"/>
          <w:sz w:val="20"/>
        </w:rPr>
        <w:t xml:space="preserve">the entry into force of this </w:t>
      </w:r>
      <w:r w:rsidR="003E1F58" w:rsidRPr="00B37972">
        <w:rPr>
          <w:rFonts w:ascii="Verdana" w:hAnsi="Verdana"/>
          <w:sz w:val="20"/>
        </w:rPr>
        <w:t xml:space="preserve">retirement </w:t>
      </w:r>
      <w:r w:rsidR="007F3A00" w:rsidRPr="00B37972">
        <w:rPr>
          <w:rFonts w:ascii="Verdana" w:hAnsi="Verdana"/>
          <w:sz w:val="20"/>
        </w:rPr>
        <w:t xml:space="preserve">provision </w:t>
      </w:r>
      <w:r w:rsidR="00027BD1" w:rsidRPr="00B37972">
        <w:rPr>
          <w:rFonts w:ascii="Verdana" w:hAnsi="Verdana"/>
          <w:sz w:val="20"/>
        </w:rPr>
        <w:t xml:space="preserve">has been postponed </w:t>
      </w:r>
      <w:r w:rsidR="005530AD" w:rsidRPr="00B37972">
        <w:rPr>
          <w:rFonts w:ascii="Verdana" w:hAnsi="Verdana"/>
          <w:sz w:val="20"/>
        </w:rPr>
        <w:t xml:space="preserve">until 1 January 2020. </w:t>
      </w:r>
    </w:p>
    <w:p w:rsidR="003E1F58" w:rsidRPr="00B37972" w:rsidRDefault="003E1F58" w:rsidP="00B37972">
      <w:pPr>
        <w:pStyle w:val="Listparagraf"/>
        <w:tabs>
          <w:tab w:val="left" w:pos="567"/>
        </w:tabs>
        <w:suppressAutoHyphens w:val="0"/>
        <w:spacing w:after="0" w:line="240" w:lineRule="auto"/>
        <w:ind w:left="0"/>
        <w:jc w:val="both"/>
        <w:rPr>
          <w:rFonts w:ascii="Verdana" w:hAnsi="Verdana"/>
          <w:sz w:val="20"/>
        </w:rPr>
      </w:pPr>
    </w:p>
    <w:p w:rsidR="001A28E4" w:rsidRPr="00B37972" w:rsidRDefault="005530AD" w:rsidP="00B37972">
      <w:pPr>
        <w:pStyle w:val="Listparagraf"/>
        <w:numPr>
          <w:ilvl w:val="0"/>
          <w:numId w:val="5"/>
        </w:numPr>
        <w:tabs>
          <w:tab w:val="left" w:pos="567"/>
        </w:tabs>
        <w:suppressAutoHyphens w:val="0"/>
        <w:spacing w:after="0" w:line="240" w:lineRule="auto"/>
        <w:ind w:left="0" w:firstLine="0"/>
        <w:jc w:val="both"/>
        <w:rPr>
          <w:rFonts w:ascii="Verdana" w:hAnsi="Verdana"/>
          <w:sz w:val="20"/>
        </w:rPr>
      </w:pPr>
      <w:r w:rsidRPr="00B37972">
        <w:rPr>
          <w:rFonts w:ascii="Verdana" w:hAnsi="Verdana"/>
          <w:sz w:val="20"/>
        </w:rPr>
        <w:t xml:space="preserve">The authorities </w:t>
      </w:r>
      <w:r w:rsidR="00027BD1" w:rsidRPr="00B37972">
        <w:rPr>
          <w:rFonts w:ascii="Verdana" w:hAnsi="Verdana"/>
          <w:sz w:val="20"/>
        </w:rPr>
        <w:t xml:space="preserve">also </w:t>
      </w:r>
      <w:r w:rsidRPr="00B37972">
        <w:rPr>
          <w:rFonts w:ascii="Verdana" w:hAnsi="Verdana"/>
          <w:sz w:val="20"/>
        </w:rPr>
        <w:t xml:space="preserve">refer to the </w:t>
      </w:r>
      <w:r w:rsidR="00920C9B">
        <w:rPr>
          <w:rFonts w:ascii="Verdana" w:hAnsi="Verdana"/>
          <w:sz w:val="20"/>
        </w:rPr>
        <w:t xml:space="preserve">statistical information regarding </w:t>
      </w:r>
      <w:r w:rsidR="005A229C" w:rsidRPr="00B37972">
        <w:rPr>
          <w:rFonts w:ascii="Verdana" w:hAnsi="Verdana"/>
          <w:sz w:val="20"/>
        </w:rPr>
        <w:t xml:space="preserve">retirement practices in recent years, </w:t>
      </w:r>
      <w:r w:rsidR="00920C9B">
        <w:rPr>
          <w:rFonts w:ascii="Verdana" w:hAnsi="Verdana"/>
          <w:sz w:val="20"/>
        </w:rPr>
        <w:t xml:space="preserve">analysed </w:t>
      </w:r>
      <w:r w:rsidR="005A229C" w:rsidRPr="00B37972">
        <w:rPr>
          <w:rFonts w:ascii="Verdana" w:hAnsi="Verdana"/>
          <w:sz w:val="20"/>
        </w:rPr>
        <w:t xml:space="preserve">by </w:t>
      </w:r>
      <w:r w:rsidRPr="00B37972">
        <w:rPr>
          <w:rFonts w:ascii="Verdana" w:hAnsi="Verdana"/>
          <w:sz w:val="20"/>
        </w:rPr>
        <w:t xml:space="preserve">the </w:t>
      </w:r>
      <w:r w:rsidR="00920C9B">
        <w:rPr>
          <w:rFonts w:ascii="Verdana" w:hAnsi="Verdana"/>
          <w:sz w:val="20"/>
        </w:rPr>
        <w:t xml:space="preserve">President of the </w:t>
      </w:r>
      <w:r w:rsidR="003D547C" w:rsidRPr="00B37972">
        <w:rPr>
          <w:rFonts w:ascii="Verdana" w:hAnsi="Verdana"/>
          <w:sz w:val="20"/>
        </w:rPr>
        <w:t xml:space="preserve">Superior Council </w:t>
      </w:r>
      <w:r w:rsidR="00660749" w:rsidRPr="00B37972">
        <w:rPr>
          <w:rFonts w:ascii="Verdana" w:hAnsi="Verdana"/>
          <w:sz w:val="20"/>
        </w:rPr>
        <w:t>of Magistracy (</w:t>
      </w:r>
      <w:r w:rsidRPr="00B37972">
        <w:rPr>
          <w:rFonts w:ascii="Verdana" w:hAnsi="Verdana"/>
          <w:sz w:val="20"/>
        </w:rPr>
        <w:t>SCM</w:t>
      </w:r>
      <w:r w:rsidR="00660749" w:rsidRPr="00B37972">
        <w:rPr>
          <w:rFonts w:ascii="Verdana" w:hAnsi="Verdana"/>
          <w:sz w:val="20"/>
        </w:rPr>
        <w:t>)</w:t>
      </w:r>
      <w:r w:rsidR="005A229C" w:rsidRPr="00B37972">
        <w:rPr>
          <w:rFonts w:ascii="Verdana" w:hAnsi="Verdana"/>
          <w:sz w:val="20"/>
        </w:rPr>
        <w:t>, which</w:t>
      </w:r>
      <w:r w:rsidRPr="00B37972">
        <w:rPr>
          <w:rFonts w:ascii="Verdana" w:hAnsi="Verdana"/>
          <w:sz w:val="20"/>
        </w:rPr>
        <w:t xml:space="preserve"> suggest</w:t>
      </w:r>
      <w:r w:rsidR="005A229C" w:rsidRPr="00B37972">
        <w:rPr>
          <w:rFonts w:ascii="Verdana" w:hAnsi="Verdana"/>
          <w:sz w:val="20"/>
        </w:rPr>
        <w:t>s</w:t>
      </w:r>
      <w:r w:rsidRPr="00B37972">
        <w:rPr>
          <w:rFonts w:ascii="Verdana" w:hAnsi="Verdana"/>
          <w:sz w:val="20"/>
        </w:rPr>
        <w:t xml:space="preserve"> that </w:t>
      </w:r>
      <w:r w:rsidR="001A28E4" w:rsidRPr="00B37972">
        <w:rPr>
          <w:rFonts w:ascii="Verdana" w:hAnsi="Verdana"/>
          <w:sz w:val="20"/>
        </w:rPr>
        <w:t xml:space="preserve">out of the total number of judges </w:t>
      </w:r>
      <w:r w:rsidR="00027BD1" w:rsidRPr="00B37972">
        <w:rPr>
          <w:rFonts w:ascii="Verdana" w:hAnsi="Verdana"/>
          <w:sz w:val="20"/>
        </w:rPr>
        <w:t xml:space="preserve">eligible for </w:t>
      </w:r>
      <w:r w:rsidR="001A28E4" w:rsidRPr="00B37972">
        <w:rPr>
          <w:rFonts w:ascii="Verdana" w:hAnsi="Verdana"/>
          <w:sz w:val="20"/>
        </w:rPr>
        <w:t xml:space="preserve">retirement, </w:t>
      </w:r>
      <w:r w:rsidR="005A229C" w:rsidRPr="00B37972">
        <w:rPr>
          <w:rFonts w:ascii="Verdana" w:hAnsi="Verdana"/>
          <w:sz w:val="20"/>
        </w:rPr>
        <w:t xml:space="preserve">only </w:t>
      </w:r>
      <w:r w:rsidR="001A28E4" w:rsidRPr="00B37972">
        <w:rPr>
          <w:rFonts w:ascii="Verdana" w:hAnsi="Verdana"/>
          <w:sz w:val="20"/>
        </w:rPr>
        <w:t xml:space="preserve">one third of them effectively retire. </w:t>
      </w:r>
      <w:r w:rsidR="005A229C" w:rsidRPr="00B37972">
        <w:rPr>
          <w:rFonts w:ascii="Verdana" w:hAnsi="Verdana"/>
          <w:sz w:val="20"/>
        </w:rPr>
        <w:t>By way of example, the authorities state that</w:t>
      </w:r>
      <w:r w:rsidR="00EE4423" w:rsidRPr="00B37972">
        <w:rPr>
          <w:rFonts w:ascii="Verdana" w:hAnsi="Verdana"/>
          <w:sz w:val="20"/>
        </w:rPr>
        <w:t>,</w:t>
      </w:r>
      <w:r w:rsidR="005A229C" w:rsidRPr="00B37972">
        <w:rPr>
          <w:rFonts w:ascii="Verdana" w:hAnsi="Verdana"/>
          <w:sz w:val="20"/>
        </w:rPr>
        <w:t xml:space="preserve"> in 2017, some 490 </w:t>
      </w:r>
      <w:r w:rsidR="001A28E4" w:rsidRPr="00B37972">
        <w:rPr>
          <w:rFonts w:ascii="Verdana" w:hAnsi="Verdana"/>
          <w:sz w:val="20"/>
        </w:rPr>
        <w:t>judges</w:t>
      </w:r>
      <w:r w:rsidR="00B52F7D" w:rsidRPr="00B37972">
        <w:rPr>
          <w:rFonts w:ascii="Verdana" w:hAnsi="Verdana"/>
          <w:sz w:val="20"/>
        </w:rPr>
        <w:t xml:space="preserve"> </w:t>
      </w:r>
      <w:r w:rsidR="00156EB3" w:rsidRPr="00B37972">
        <w:rPr>
          <w:rFonts w:ascii="Verdana" w:hAnsi="Verdana"/>
          <w:sz w:val="20"/>
        </w:rPr>
        <w:t xml:space="preserve">were </w:t>
      </w:r>
      <w:r w:rsidR="005A229C" w:rsidRPr="00B37972">
        <w:rPr>
          <w:rFonts w:ascii="Verdana" w:hAnsi="Verdana"/>
          <w:sz w:val="20"/>
        </w:rPr>
        <w:t xml:space="preserve">entitled to retirement </w:t>
      </w:r>
      <w:r w:rsidR="00156EB3" w:rsidRPr="00B37972">
        <w:rPr>
          <w:rFonts w:ascii="Verdana" w:hAnsi="Verdana"/>
          <w:sz w:val="20"/>
        </w:rPr>
        <w:t xml:space="preserve">but </w:t>
      </w:r>
      <w:r w:rsidR="005A229C" w:rsidRPr="00B37972">
        <w:rPr>
          <w:rFonts w:ascii="Verdana" w:hAnsi="Verdana"/>
          <w:sz w:val="20"/>
        </w:rPr>
        <w:t>only 137 chose to do so.</w:t>
      </w:r>
      <w:r w:rsidR="001A28E4" w:rsidRPr="00B37972">
        <w:rPr>
          <w:rFonts w:ascii="Verdana" w:hAnsi="Verdana"/>
          <w:sz w:val="20"/>
        </w:rPr>
        <w:t xml:space="preserve"> </w:t>
      </w:r>
      <w:r w:rsidR="00B52F7D" w:rsidRPr="00B37972">
        <w:rPr>
          <w:rFonts w:ascii="Verdana" w:hAnsi="Verdana"/>
          <w:sz w:val="20"/>
        </w:rPr>
        <w:t>R</w:t>
      </w:r>
      <w:r w:rsidR="001A28E4" w:rsidRPr="00B37972">
        <w:rPr>
          <w:rFonts w:ascii="Verdana" w:hAnsi="Verdana"/>
          <w:sz w:val="20"/>
        </w:rPr>
        <w:t>egard</w:t>
      </w:r>
      <w:r w:rsidR="00B52F7D" w:rsidRPr="00B37972">
        <w:rPr>
          <w:rFonts w:ascii="Verdana" w:hAnsi="Verdana"/>
          <w:sz w:val="20"/>
        </w:rPr>
        <w:t>ing</w:t>
      </w:r>
      <w:r w:rsidR="001A28E4" w:rsidRPr="00B37972">
        <w:rPr>
          <w:rFonts w:ascii="Verdana" w:hAnsi="Verdana"/>
          <w:sz w:val="20"/>
        </w:rPr>
        <w:t xml:space="preserve"> the retirement of prosecutors, the </w:t>
      </w:r>
      <w:r w:rsidR="00B52F7D" w:rsidRPr="00B37972">
        <w:rPr>
          <w:rFonts w:ascii="Verdana" w:hAnsi="Verdana"/>
          <w:sz w:val="20"/>
        </w:rPr>
        <w:t xml:space="preserve">authorities again refer to the </w:t>
      </w:r>
      <w:r w:rsidR="00920C9B">
        <w:rPr>
          <w:rFonts w:ascii="Verdana" w:hAnsi="Verdana"/>
          <w:sz w:val="20"/>
        </w:rPr>
        <w:t xml:space="preserve">above statistics </w:t>
      </w:r>
      <w:r w:rsidR="000E4998" w:rsidRPr="00B37972">
        <w:rPr>
          <w:rFonts w:ascii="Verdana" w:hAnsi="Verdana"/>
          <w:sz w:val="20"/>
        </w:rPr>
        <w:t xml:space="preserve">which states </w:t>
      </w:r>
      <w:r w:rsidR="00B52F7D" w:rsidRPr="00B37972">
        <w:rPr>
          <w:rFonts w:ascii="Verdana" w:hAnsi="Verdana"/>
          <w:sz w:val="20"/>
        </w:rPr>
        <w:t>that</w:t>
      </w:r>
      <w:r w:rsidR="00EE4423" w:rsidRPr="00B37972">
        <w:rPr>
          <w:rFonts w:ascii="Verdana" w:hAnsi="Verdana"/>
          <w:sz w:val="20"/>
        </w:rPr>
        <w:t>,</w:t>
      </w:r>
      <w:r w:rsidR="00B52F7D" w:rsidRPr="00B37972">
        <w:rPr>
          <w:rFonts w:ascii="Verdana" w:hAnsi="Verdana"/>
          <w:sz w:val="20"/>
        </w:rPr>
        <w:t xml:space="preserve"> </w:t>
      </w:r>
      <w:r w:rsidR="001A28E4" w:rsidRPr="00B37972">
        <w:rPr>
          <w:rFonts w:ascii="Verdana" w:hAnsi="Verdana"/>
          <w:sz w:val="20"/>
        </w:rPr>
        <w:t>in previous years</w:t>
      </w:r>
      <w:r w:rsidR="00EE4423" w:rsidRPr="00B37972">
        <w:rPr>
          <w:rFonts w:ascii="Verdana" w:hAnsi="Verdana"/>
          <w:sz w:val="20"/>
        </w:rPr>
        <w:t>,</w:t>
      </w:r>
      <w:r w:rsidR="001A28E4" w:rsidRPr="00B37972">
        <w:rPr>
          <w:rFonts w:ascii="Verdana" w:hAnsi="Verdana"/>
          <w:sz w:val="20"/>
        </w:rPr>
        <w:t xml:space="preserve"> </w:t>
      </w:r>
      <w:r w:rsidR="000E4998" w:rsidRPr="00B37972">
        <w:rPr>
          <w:rFonts w:ascii="Verdana" w:hAnsi="Verdana"/>
          <w:sz w:val="20"/>
        </w:rPr>
        <w:t xml:space="preserve">only one third of </w:t>
      </w:r>
      <w:r w:rsidR="001A28E4" w:rsidRPr="00B37972">
        <w:rPr>
          <w:rFonts w:ascii="Verdana" w:hAnsi="Verdana"/>
          <w:sz w:val="20"/>
        </w:rPr>
        <w:t xml:space="preserve">the total number of prosecutors </w:t>
      </w:r>
      <w:r w:rsidR="00B52F7D" w:rsidRPr="00B37972">
        <w:rPr>
          <w:rFonts w:ascii="Verdana" w:hAnsi="Verdana"/>
          <w:sz w:val="20"/>
        </w:rPr>
        <w:t>eligible for retirement</w:t>
      </w:r>
      <w:r w:rsidR="000E4998" w:rsidRPr="00B37972">
        <w:rPr>
          <w:rFonts w:ascii="Verdana" w:hAnsi="Verdana"/>
          <w:sz w:val="20"/>
        </w:rPr>
        <w:t xml:space="preserve"> have </w:t>
      </w:r>
      <w:r w:rsidR="001A28E4" w:rsidRPr="00B37972">
        <w:rPr>
          <w:rFonts w:ascii="Verdana" w:hAnsi="Verdana"/>
          <w:sz w:val="20"/>
        </w:rPr>
        <w:t>effectively retire</w:t>
      </w:r>
      <w:r w:rsidR="000E4998" w:rsidRPr="00B37972">
        <w:rPr>
          <w:rFonts w:ascii="Verdana" w:hAnsi="Verdana"/>
          <w:sz w:val="20"/>
        </w:rPr>
        <w:t>d</w:t>
      </w:r>
      <w:r w:rsidR="001A28E4" w:rsidRPr="00B37972">
        <w:rPr>
          <w:rFonts w:ascii="Verdana" w:hAnsi="Verdana"/>
          <w:sz w:val="20"/>
        </w:rPr>
        <w:t xml:space="preserve">. </w:t>
      </w:r>
      <w:r w:rsidR="00B52F7D" w:rsidRPr="00B37972">
        <w:rPr>
          <w:rFonts w:ascii="Verdana" w:hAnsi="Verdana"/>
          <w:sz w:val="20"/>
        </w:rPr>
        <w:t xml:space="preserve">At present, some 930 prosecutors </w:t>
      </w:r>
      <w:r w:rsidR="001A28E4" w:rsidRPr="00B37972">
        <w:rPr>
          <w:rFonts w:ascii="Verdana" w:hAnsi="Verdana"/>
          <w:sz w:val="20"/>
        </w:rPr>
        <w:t xml:space="preserve">will have </w:t>
      </w:r>
      <w:r w:rsidR="00B52F7D" w:rsidRPr="00B37972">
        <w:rPr>
          <w:rFonts w:ascii="Verdana" w:hAnsi="Verdana"/>
          <w:sz w:val="20"/>
        </w:rPr>
        <w:t xml:space="preserve">over </w:t>
      </w:r>
      <w:r w:rsidR="001A28E4" w:rsidRPr="00B37972">
        <w:rPr>
          <w:rFonts w:ascii="Verdana" w:hAnsi="Verdana"/>
          <w:sz w:val="20"/>
        </w:rPr>
        <w:t xml:space="preserve">20 years of </w:t>
      </w:r>
      <w:r w:rsidR="00B52F7D" w:rsidRPr="00B37972">
        <w:rPr>
          <w:rFonts w:ascii="Verdana" w:hAnsi="Verdana"/>
          <w:sz w:val="20"/>
        </w:rPr>
        <w:t xml:space="preserve">service by 1 January </w:t>
      </w:r>
      <w:r w:rsidR="001A28E4" w:rsidRPr="00B37972">
        <w:rPr>
          <w:rFonts w:ascii="Verdana" w:hAnsi="Verdana"/>
          <w:sz w:val="20"/>
        </w:rPr>
        <w:t>2020</w:t>
      </w:r>
      <w:r w:rsidR="00B52F7D" w:rsidRPr="00B37972">
        <w:rPr>
          <w:rFonts w:ascii="Verdana" w:hAnsi="Verdana"/>
          <w:sz w:val="20"/>
        </w:rPr>
        <w:t xml:space="preserve">. Assuming that one third of them retire, the authorities estimate </w:t>
      </w:r>
      <w:r w:rsidR="001A28E4" w:rsidRPr="00B37972">
        <w:rPr>
          <w:rFonts w:ascii="Verdana" w:hAnsi="Verdana"/>
          <w:sz w:val="20"/>
        </w:rPr>
        <w:t xml:space="preserve">310 retirements (about 12% of the </w:t>
      </w:r>
      <w:r w:rsidR="00B52F7D" w:rsidRPr="00B37972">
        <w:rPr>
          <w:rFonts w:ascii="Verdana" w:hAnsi="Verdana"/>
          <w:sz w:val="20"/>
        </w:rPr>
        <w:t xml:space="preserve">total </w:t>
      </w:r>
      <w:r w:rsidR="001A28E4" w:rsidRPr="00B37972">
        <w:rPr>
          <w:rFonts w:ascii="Verdana" w:hAnsi="Verdana"/>
          <w:sz w:val="20"/>
        </w:rPr>
        <w:t>number of prosecutors).</w:t>
      </w:r>
      <w:r w:rsidR="005A229C" w:rsidRPr="00B37972">
        <w:rPr>
          <w:rFonts w:ascii="Verdana" w:hAnsi="Verdana"/>
          <w:sz w:val="20"/>
        </w:rPr>
        <w:t xml:space="preserve"> The authorities conclude, with reference to the </w:t>
      </w:r>
      <w:r w:rsidR="00920C9B">
        <w:rPr>
          <w:rFonts w:ascii="Verdana" w:hAnsi="Verdana"/>
          <w:sz w:val="20"/>
        </w:rPr>
        <w:t>statistical information available</w:t>
      </w:r>
      <w:r w:rsidR="005A229C" w:rsidRPr="00B37972">
        <w:rPr>
          <w:rFonts w:ascii="Verdana" w:hAnsi="Verdana"/>
          <w:sz w:val="20"/>
        </w:rPr>
        <w:t xml:space="preserve">, that the current retirement </w:t>
      </w:r>
      <w:r w:rsidR="00BE3F57" w:rsidRPr="00B37972">
        <w:rPr>
          <w:rFonts w:ascii="Verdana" w:hAnsi="Verdana"/>
          <w:sz w:val="20"/>
        </w:rPr>
        <w:t xml:space="preserve">arrangements do not constitute a risk </w:t>
      </w:r>
      <w:r w:rsidR="00156EB3" w:rsidRPr="00B37972">
        <w:rPr>
          <w:rFonts w:ascii="Verdana" w:hAnsi="Verdana"/>
          <w:sz w:val="20"/>
        </w:rPr>
        <w:t xml:space="preserve">to a proper </w:t>
      </w:r>
      <w:r w:rsidR="00BE3F57" w:rsidRPr="00B37972">
        <w:rPr>
          <w:rFonts w:ascii="Verdana" w:hAnsi="Verdana"/>
          <w:sz w:val="20"/>
        </w:rPr>
        <w:t>functioning of the judiciary and prosecution.</w:t>
      </w:r>
    </w:p>
    <w:p w:rsidR="001A28E4" w:rsidRPr="00B37972" w:rsidRDefault="001A28E4" w:rsidP="00B37972">
      <w:pPr>
        <w:pStyle w:val="Listparagraf"/>
        <w:tabs>
          <w:tab w:val="left" w:pos="567"/>
        </w:tabs>
        <w:suppressAutoHyphens w:val="0"/>
        <w:spacing w:after="0" w:line="240" w:lineRule="auto"/>
        <w:ind w:left="0"/>
        <w:jc w:val="both"/>
        <w:rPr>
          <w:rFonts w:ascii="Verdana" w:hAnsi="Verdana"/>
          <w:sz w:val="20"/>
        </w:rPr>
      </w:pPr>
    </w:p>
    <w:p w:rsidR="002F6505" w:rsidRPr="00B37972" w:rsidRDefault="00DF5CFE" w:rsidP="00B37972">
      <w:pPr>
        <w:pStyle w:val="Listparagraf"/>
        <w:numPr>
          <w:ilvl w:val="0"/>
          <w:numId w:val="5"/>
        </w:numPr>
        <w:tabs>
          <w:tab w:val="left" w:pos="567"/>
        </w:tabs>
        <w:suppressAutoHyphens w:val="0"/>
        <w:spacing w:after="0" w:line="240" w:lineRule="auto"/>
        <w:ind w:left="0" w:firstLine="0"/>
        <w:jc w:val="both"/>
        <w:rPr>
          <w:rFonts w:ascii="Verdana" w:hAnsi="Verdana"/>
          <w:sz w:val="20"/>
        </w:rPr>
      </w:pPr>
      <w:r w:rsidRPr="00B37972">
        <w:rPr>
          <w:rFonts w:ascii="Verdana" w:hAnsi="Verdana"/>
          <w:sz w:val="20"/>
        </w:rPr>
        <w:t xml:space="preserve">As to the second part of this recommendation, the authorities state that secondary legislation in this field </w:t>
      </w:r>
      <w:r w:rsidR="0013617A">
        <w:rPr>
          <w:rFonts w:ascii="Verdana" w:hAnsi="Verdana"/>
          <w:sz w:val="20"/>
        </w:rPr>
        <w:t xml:space="preserve">is in the drafting process </w:t>
      </w:r>
      <w:r w:rsidRPr="00B37972">
        <w:rPr>
          <w:rFonts w:ascii="Verdana" w:hAnsi="Verdana"/>
          <w:sz w:val="20"/>
        </w:rPr>
        <w:t>by the SCM.</w:t>
      </w:r>
      <w:r w:rsidR="0013617A">
        <w:rPr>
          <w:rFonts w:ascii="Verdana" w:hAnsi="Verdana"/>
          <w:sz w:val="20"/>
        </w:rPr>
        <w:t xml:space="preserve"> In particular,</w:t>
      </w:r>
      <w:r w:rsidRPr="00B37972">
        <w:rPr>
          <w:rFonts w:ascii="Verdana" w:hAnsi="Verdana"/>
          <w:sz w:val="20"/>
        </w:rPr>
        <w:t xml:space="preserve"> </w:t>
      </w:r>
      <w:r w:rsidR="0013617A">
        <w:rPr>
          <w:rFonts w:ascii="Verdana" w:hAnsi="Verdana"/>
          <w:sz w:val="20"/>
        </w:rPr>
        <w:t xml:space="preserve">at its meeting of 20 </w:t>
      </w:r>
      <w:r w:rsidR="0013617A" w:rsidRPr="00597D3D">
        <w:rPr>
          <w:rFonts w:ascii="Verdana" w:hAnsi="Verdana"/>
          <w:sz w:val="20"/>
        </w:rPr>
        <w:t xml:space="preserve">March 2019, </w:t>
      </w:r>
      <w:r w:rsidR="0013617A">
        <w:rPr>
          <w:rFonts w:ascii="Verdana" w:hAnsi="Verdana"/>
          <w:sz w:val="20"/>
        </w:rPr>
        <w:t xml:space="preserve">the SCM </w:t>
      </w:r>
      <w:r w:rsidR="00920C9B">
        <w:rPr>
          <w:rFonts w:ascii="Verdana" w:hAnsi="Verdana"/>
          <w:sz w:val="20"/>
        </w:rPr>
        <w:t xml:space="preserve">Joint </w:t>
      </w:r>
      <w:r w:rsidR="0013617A" w:rsidRPr="00597D3D">
        <w:rPr>
          <w:rFonts w:ascii="Verdana" w:hAnsi="Verdana"/>
          <w:sz w:val="20"/>
        </w:rPr>
        <w:t xml:space="preserve">Commission </w:t>
      </w:r>
      <w:r w:rsidR="0013617A">
        <w:rPr>
          <w:rFonts w:ascii="Verdana" w:hAnsi="Verdana"/>
          <w:sz w:val="20"/>
        </w:rPr>
        <w:t xml:space="preserve">on </w:t>
      </w:r>
      <w:r w:rsidR="0013617A" w:rsidRPr="00597D3D">
        <w:rPr>
          <w:rFonts w:ascii="Verdana" w:hAnsi="Verdana"/>
          <w:sz w:val="20"/>
        </w:rPr>
        <w:t xml:space="preserve">Human </w:t>
      </w:r>
      <w:r w:rsidR="0013617A">
        <w:rPr>
          <w:rFonts w:ascii="Verdana" w:hAnsi="Verdana"/>
          <w:sz w:val="20"/>
        </w:rPr>
        <w:t>R</w:t>
      </w:r>
      <w:r w:rsidR="0013617A" w:rsidRPr="00597D3D">
        <w:rPr>
          <w:rFonts w:ascii="Verdana" w:hAnsi="Verdana"/>
          <w:sz w:val="20"/>
        </w:rPr>
        <w:t xml:space="preserve">esources and </w:t>
      </w:r>
      <w:r w:rsidR="0013617A">
        <w:rPr>
          <w:rFonts w:ascii="Verdana" w:hAnsi="Verdana"/>
          <w:sz w:val="20"/>
        </w:rPr>
        <w:t>O</w:t>
      </w:r>
      <w:r w:rsidR="0013617A" w:rsidRPr="00597D3D">
        <w:rPr>
          <w:rFonts w:ascii="Verdana" w:hAnsi="Verdana"/>
          <w:sz w:val="20"/>
        </w:rPr>
        <w:t>rgani</w:t>
      </w:r>
      <w:r w:rsidR="0013617A">
        <w:rPr>
          <w:rFonts w:ascii="Verdana" w:hAnsi="Verdana"/>
          <w:sz w:val="20"/>
        </w:rPr>
        <w:t>s</w:t>
      </w:r>
      <w:r w:rsidR="0013617A" w:rsidRPr="00597D3D">
        <w:rPr>
          <w:rFonts w:ascii="Verdana" w:hAnsi="Verdana"/>
          <w:sz w:val="20"/>
        </w:rPr>
        <w:t xml:space="preserve">ation, decided to </w:t>
      </w:r>
      <w:r w:rsidR="0013617A">
        <w:rPr>
          <w:rFonts w:ascii="Verdana" w:hAnsi="Verdana"/>
          <w:sz w:val="20"/>
        </w:rPr>
        <w:t>draw up a r</w:t>
      </w:r>
      <w:r w:rsidR="0013617A" w:rsidRPr="00597D3D">
        <w:rPr>
          <w:rFonts w:ascii="Verdana" w:hAnsi="Verdana"/>
          <w:sz w:val="20"/>
        </w:rPr>
        <w:t>egulation regarding the organi</w:t>
      </w:r>
      <w:r w:rsidR="0013617A">
        <w:rPr>
          <w:rFonts w:ascii="Verdana" w:hAnsi="Verdana"/>
          <w:sz w:val="20"/>
        </w:rPr>
        <w:t>s</w:t>
      </w:r>
      <w:r w:rsidR="0013617A" w:rsidRPr="00597D3D">
        <w:rPr>
          <w:rFonts w:ascii="Verdana" w:hAnsi="Verdana"/>
          <w:sz w:val="20"/>
        </w:rPr>
        <w:t>ation and carrying out</w:t>
      </w:r>
      <w:r w:rsidR="0013617A">
        <w:rPr>
          <w:rFonts w:ascii="Verdana" w:hAnsi="Verdana"/>
          <w:sz w:val="20"/>
        </w:rPr>
        <w:t xml:space="preserve"> of competitions</w:t>
      </w:r>
      <w:r w:rsidR="0013617A" w:rsidRPr="00597D3D">
        <w:rPr>
          <w:rFonts w:ascii="Verdana" w:hAnsi="Verdana"/>
          <w:sz w:val="20"/>
        </w:rPr>
        <w:t xml:space="preserve"> </w:t>
      </w:r>
      <w:r w:rsidR="0013617A">
        <w:rPr>
          <w:rFonts w:ascii="Verdana" w:hAnsi="Verdana"/>
          <w:sz w:val="20"/>
        </w:rPr>
        <w:t xml:space="preserve">for the </w:t>
      </w:r>
      <w:r w:rsidR="0013617A" w:rsidRPr="00597D3D">
        <w:rPr>
          <w:rFonts w:ascii="Verdana" w:hAnsi="Verdana"/>
          <w:sz w:val="20"/>
        </w:rPr>
        <w:t xml:space="preserve">promotion </w:t>
      </w:r>
      <w:r w:rsidR="0013617A">
        <w:rPr>
          <w:rFonts w:ascii="Verdana" w:hAnsi="Verdana"/>
          <w:sz w:val="20"/>
        </w:rPr>
        <w:t xml:space="preserve">of </w:t>
      </w:r>
      <w:r w:rsidR="0013617A" w:rsidRPr="00597D3D">
        <w:rPr>
          <w:rFonts w:ascii="Verdana" w:hAnsi="Verdana"/>
          <w:sz w:val="20"/>
        </w:rPr>
        <w:t xml:space="preserve">judges, </w:t>
      </w:r>
      <w:r w:rsidR="0013617A">
        <w:rPr>
          <w:rFonts w:ascii="Verdana" w:hAnsi="Verdana"/>
          <w:sz w:val="20"/>
        </w:rPr>
        <w:t>and a r</w:t>
      </w:r>
      <w:r w:rsidR="0013617A" w:rsidRPr="00597D3D">
        <w:rPr>
          <w:rFonts w:ascii="Verdana" w:hAnsi="Verdana"/>
          <w:sz w:val="20"/>
        </w:rPr>
        <w:t xml:space="preserve">egulation </w:t>
      </w:r>
      <w:r w:rsidR="0013617A">
        <w:rPr>
          <w:rFonts w:ascii="Verdana" w:hAnsi="Verdana"/>
          <w:sz w:val="20"/>
        </w:rPr>
        <w:t xml:space="preserve">on </w:t>
      </w:r>
      <w:r w:rsidR="0013617A" w:rsidRPr="00597D3D">
        <w:rPr>
          <w:rFonts w:ascii="Verdana" w:hAnsi="Verdana"/>
          <w:sz w:val="20"/>
        </w:rPr>
        <w:t>the organi</w:t>
      </w:r>
      <w:r w:rsidR="0013617A">
        <w:rPr>
          <w:rFonts w:ascii="Verdana" w:hAnsi="Verdana"/>
          <w:sz w:val="20"/>
        </w:rPr>
        <w:t>s</w:t>
      </w:r>
      <w:r w:rsidR="0013617A" w:rsidRPr="00597D3D">
        <w:rPr>
          <w:rFonts w:ascii="Verdana" w:hAnsi="Verdana"/>
          <w:sz w:val="20"/>
        </w:rPr>
        <w:t xml:space="preserve">ation and carrying out </w:t>
      </w:r>
      <w:r w:rsidR="0013617A">
        <w:rPr>
          <w:rFonts w:ascii="Verdana" w:hAnsi="Verdana"/>
          <w:sz w:val="20"/>
        </w:rPr>
        <w:t xml:space="preserve">of competitions for the </w:t>
      </w:r>
      <w:r w:rsidR="0013617A" w:rsidRPr="00597D3D">
        <w:rPr>
          <w:rFonts w:ascii="Verdana" w:hAnsi="Verdana"/>
          <w:sz w:val="20"/>
        </w:rPr>
        <w:t xml:space="preserve">promotion </w:t>
      </w:r>
      <w:r w:rsidR="0013617A">
        <w:rPr>
          <w:rFonts w:ascii="Verdana" w:hAnsi="Verdana"/>
          <w:sz w:val="20"/>
        </w:rPr>
        <w:t xml:space="preserve">of </w:t>
      </w:r>
      <w:r w:rsidR="0013617A" w:rsidRPr="00597D3D">
        <w:rPr>
          <w:rFonts w:ascii="Verdana" w:hAnsi="Verdana"/>
          <w:sz w:val="20"/>
        </w:rPr>
        <w:t>prosecutors.</w:t>
      </w:r>
      <w:r w:rsidR="00B4457B">
        <w:rPr>
          <w:rFonts w:ascii="Verdana" w:hAnsi="Verdana"/>
          <w:sz w:val="20"/>
        </w:rPr>
        <w:t xml:space="preserve"> </w:t>
      </w:r>
      <w:r w:rsidR="0013617A" w:rsidRPr="00597D3D">
        <w:rPr>
          <w:rFonts w:ascii="Verdana" w:hAnsi="Verdana"/>
          <w:sz w:val="20"/>
        </w:rPr>
        <w:t xml:space="preserve">The first </w:t>
      </w:r>
      <w:r w:rsidR="0013617A">
        <w:rPr>
          <w:rFonts w:ascii="Verdana" w:hAnsi="Verdana"/>
          <w:sz w:val="20"/>
        </w:rPr>
        <w:t>draft r</w:t>
      </w:r>
      <w:r w:rsidR="0013617A" w:rsidRPr="00597D3D">
        <w:rPr>
          <w:rFonts w:ascii="Verdana" w:hAnsi="Verdana"/>
          <w:sz w:val="20"/>
        </w:rPr>
        <w:t xml:space="preserve">egulation </w:t>
      </w:r>
      <w:r w:rsidR="0013617A">
        <w:rPr>
          <w:rFonts w:ascii="Verdana" w:hAnsi="Verdana"/>
          <w:sz w:val="20"/>
        </w:rPr>
        <w:t xml:space="preserve">relating to </w:t>
      </w:r>
      <w:r w:rsidR="0013617A" w:rsidRPr="00597D3D">
        <w:rPr>
          <w:rFonts w:ascii="Verdana" w:hAnsi="Verdana"/>
          <w:sz w:val="20"/>
        </w:rPr>
        <w:t xml:space="preserve">judges was </w:t>
      </w:r>
      <w:r w:rsidR="0013617A">
        <w:rPr>
          <w:rFonts w:ascii="Verdana" w:hAnsi="Verdana"/>
          <w:sz w:val="20"/>
        </w:rPr>
        <w:t xml:space="preserve">examined by </w:t>
      </w:r>
      <w:r w:rsidR="00920C9B">
        <w:rPr>
          <w:rFonts w:ascii="Verdana" w:hAnsi="Verdana"/>
          <w:sz w:val="20"/>
        </w:rPr>
        <w:t xml:space="preserve">the Judges’ </w:t>
      </w:r>
      <w:r w:rsidR="0013617A" w:rsidRPr="00597D3D">
        <w:rPr>
          <w:rFonts w:ascii="Verdana" w:hAnsi="Verdana"/>
          <w:sz w:val="20"/>
        </w:rPr>
        <w:t xml:space="preserve">Commission </w:t>
      </w:r>
      <w:r w:rsidR="0013617A">
        <w:rPr>
          <w:rFonts w:ascii="Verdana" w:hAnsi="Verdana"/>
          <w:sz w:val="20"/>
        </w:rPr>
        <w:t xml:space="preserve">on 3 </w:t>
      </w:r>
      <w:r w:rsidR="0013617A" w:rsidRPr="00597D3D">
        <w:rPr>
          <w:rFonts w:ascii="Verdana" w:hAnsi="Verdana"/>
          <w:sz w:val="20"/>
        </w:rPr>
        <w:t xml:space="preserve">May 2019. </w:t>
      </w:r>
      <w:r w:rsidR="0013617A">
        <w:rPr>
          <w:rFonts w:ascii="Verdana" w:hAnsi="Verdana"/>
          <w:sz w:val="20"/>
        </w:rPr>
        <w:t>It is envisaged to present the draft r</w:t>
      </w:r>
      <w:r w:rsidR="0013617A" w:rsidRPr="00597D3D">
        <w:rPr>
          <w:rFonts w:ascii="Verdana" w:hAnsi="Verdana"/>
          <w:sz w:val="20"/>
        </w:rPr>
        <w:t>egulation for public debate</w:t>
      </w:r>
      <w:r w:rsidR="0013617A">
        <w:rPr>
          <w:rFonts w:ascii="Verdana" w:hAnsi="Verdana"/>
          <w:sz w:val="20"/>
        </w:rPr>
        <w:t xml:space="preserve"> and consult</w:t>
      </w:r>
      <w:r w:rsidR="0013617A" w:rsidRPr="00597D3D">
        <w:rPr>
          <w:rFonts w:ascii="Verdana" w:hAnsi="Verdana"/>
          <w:sz w:val="20"/>
        </w:rPr>
        <w:t xml:space="preserve"> the courts</w:t>
      </w:r>
      <w:r w:rsidR="0013617A">
        <w:rPr>
          <w:rFonts w:ascii="Verdana" w:hAnsi="Verdana"/>
          <w:sz w:val="20"/>
        </w:rPr>
        <w:t>, prior to its final approval</w:t>
      </w:r>
      <w:r w:rsidR="0013617A" w:rsidRPr="00597D3D">
        <w:rPr>
          <w:rFonts w:ascii="Verdana" w:hAnsi="Verdana"/>
          <w:sz w:val="20"/>
        </w:rPr>
        <w:t>.</w:t>
      </w:r>
      <w:r w:rsidR="0013617A">
        <w:rPr>
          <w:rFonts w:ascii="Verdana" w:hAnsi="Verdana"/>
          <w:sz w:val="20"/>
        </w:rPr>
        <w:t xml:space="preserve"> The </w:t>
      </w:r>
      <w:r w:rsidR="00920C9B">
        <w:rPr>
          <w:rFonts w:ascii="Verdana" w:hAnsi="Verdana"/>
          <w:sz w:val="20"/>
        </w:rPr>
        <w:t xml:space="preserve">Prosecutors’ </w:t>
      </w:r>
      <w:r w:rsidR="0013617A">
        <w:rPr>
          <w:rFonts w:ascii="Verdana" w:hAnsi="Verdana"/>
          <w:sz w:val="20"/>
        </w:rPr>
        <w:t>Commission examin</w:t>
      </w:r>
      <w:r w:rsidR="00920C9B">
        <w:rPr>
          <w:rFonts w:ascii="Verdana" w:hAnsi="Verdana"/>
          <w:sz w:val="20"/>
        </w:rPr>
        <w:t>ed</w:t>
      </w:r>
      <w:r w:rsidR="0013617A">
        <w:rPr>
          <w:rFonts w:ascii="Verdana" w:hAnsi="Verdana"/>
          <w:sz w:val="20"/>
        </w:rPr>
        <w:t xml:space="preserve"> the draft r</w:t>
      </w:r>
      <w:r w:rsidR="0013617A" w:rsidRPr="00597D3D">
        <w:rPr>
          <w:rFonts w:ascii="Verdana" w:hAnsi="Verdana"/>
          <w:sz w:val="20"/>
        </w:rPr>
        <w:t xml:space="preserve">egulation </w:t>
      </w:r>
      <w:r w:rsidR="0013617A">
        <w:rPr>
          <w:rFonts w:ascii="Verdana" w:hAnsi="Verdana"/>
          <w:sz w:val="20"/>
        </w:rPr>
        <w:t xml:space="preserve">concerning </w:t>
      </w:r>
      <w:r w:rsidR="0013617A" w:rsidRPr="00597D3D">
        <w:rPr>
          <w:rFonts w:ascii="Verdana" w:hAnsi="Verdana"/>
          <w:sz w:val="20"/>
        </w:rPr>
        <w:t>prosecutor</w:t>
      </w:r>
      <w:r w:rsidR="0013617A">
        <w:rPr>
          <w:rFonts w:ascii="Verdana" w:hAnsi="Verdana"/>
          <w:sz w:val="20"/>
        </w:rPr>
        <w:t xml:space="preserve">ial promotions </w:t>
      </w:r>
      <w:r w:rsidR="00920C9B">
        <w:rPr>
          <w:rFonts w:ascii="Verdana" w:hAnsi="Verdana"/>
          <w:sz w:val="20"/>
        </w:rPr>
        <w:t xml:space="preserve">on 12 </w:t>
      </w:r>
      <w:r w:rsidR="0013617A">
        <w:rPr>
          <w:rFonts w:ascii="Verdana" w:hAnsi="Verdana"/>
          <w:sz w:val="20"/>
        </w:rPr>
        <w:t>June</w:t>
      </w:r>
      <w:r w:rsidR="00920C9B">
        <w:rPr>
          <w:rFonts w:ascii="Verdana" w:hAnsi="Verdana"/>
          <w:sz w:val="20"/>
        </w:rPr>
        <w:t>. This draft</w:t>
      </w:r>
      <w:r w:rsidR="0013617A">
        <w:rPr>
          <w:rFonts w:ascii="Verdana" w:hAnsi="Verdana"/>
          <w:sz w:val="20"/>
        </w:rPr>
        <w:t xml:space="preserve"> will also </w:t>
      </w:r>
      <w:r w:rsidR="00920C9B">
        <w:rPr>
          <w:rFonts w:ascii="Verdana" w:hAnsi="Verdana"/>
          <w:sz w:val="20"/>
        </w:rPr>
        <w:t xml:space="preserve">be presented for </w:t>
      </w:r>
      <w:r w:rsidR="0013617A" w:rsidRPr="00597D3D">
        <w:rPr>
          <w:rFonts w:ascii="Verdana" w:hAnsi="Verdana"/>
          <w:sz w:val="20"/>
        </w:rPr>
        <w:t>public debate</w:t>
      </w:r>
      <w:r w:rsidR="0013617A">
        <w:rPr>
          <w:rFonts w:ascii="Verdana" w:hAnsi="Verdana"/>
          <w:sz w:val="20"/>
        </w:rPr>
        <w:t xml:space="preserve"> </w:t>
      </w:r>
      <w:r w:rsidR="00920C9B">
        <w:rPr>
          <w:rFonts w:ascii="Verdana" w:hAnsi="Verdana"/>
          <w:sz w:val="20"/>
        </w:rPr>
        <w:t xml:space="preserve">and consultation among prosecutors </w:t>
      </w:r>
      <w:r w:rsidR="0013617A">
        <w:rPr>
          <w:rFonts w:ascii="Verdana" w:hAnsi="Verdana"/>
          <w:sz w:val="20"/>
        </w:rPr>
        <w:t>prior to its final approval</w:t>
      </w:r>
      <w:r w:rsidR="0013617A" w:rsidRPr="00597D3D">
        <w:rPr>
          <w:rFonts w:ascii="Verdana" w:hAnsi="Verdana"/>
          <w:sz w:val="20"/>
        </w:rPr>
        <w:t>.</w:t>
      </w:r>
      <w:r w:rsidR="0013617A">
        <w:rPr>
          <w:rFonts w:ascii="Verdana" w:hAnsi="Verdana"/>
          <w:sz w:val="20"/>
        </w:rPr>
        <w:t xml:space="preserve"> </w:t>
      </w:r>
      <w:r w:rsidRPr="00B37972">
        <w:rPr>
          <w:rFonts w:ascii="Verdana" w:hAnsi="Verdana"/>
          <w:sz w:val="20"/>
        </w:rPr>
        <w:t xml:space="preserve">The authorities also provide a detailed explanation of amendments brought to professional training of auditors of justice and the internship of trainee judges and prosecutors. In particular, the </w:t>
      </w:r>
      <w:r w:rsidR="003E1F58" w:rsidRPr="00B37972">
        <w:rPr>
          <w:rFonts w:ascii="Verdana" w:hAnsi="Verdana"/>
          <w:sz w:val="20"/>
        </w:rPr>
        <w:t>authorities refer to Article 16, paragraph 3</w:t>
      </w:r>
      <w:r w:rsidR="003E1F58" w:rsidRPr="00B37972">
        <w:rPr>
          <w:rStyle w:val="Referinnotdesubsol"/>
          <w:rFonts w:ascii="Verdana" w:hAnsi="Verdana"/>
          <w:sz w:val="20"/>
        </w:rPr>
        <w:footnoteReference w:id="12"/>
      </w:r>
      <w:r w:rsidR="003E1F58" w:rsidRPr="00B37972">
        <w:rPr>
          <w:rFonts w:ascii="Verdana" w:hAnsi="Verdana"/>
          <w:sz w:val="20"/>
        </w:rPr>
        <w:t xml:space="preserve"> of Law no. 303/2004, as amended by </w:t>
      </w:r>
      <w:r w:rsidR="001A28E4" w:rsidRPr="00B37972">
        <w:rPr>
          <w:rFonts w:ascii="Verdana" w:hAnsi="Verdana"/>
          <w:sz w:val="20"/>
        </w:rPr>
        <w:t xml:space="preserve">Law no. 242/2018, </w:t>
      </w:r>
      <w:r w:rsidR="003E1F58" w:rsidRPr="00B37972">
        <w:rPr>
          <w:rFonts w:ascii="Verdana" w:hAnsi="Verdana"/>
          <w:sz w:val="20"/>
        </w:rPr>
        <w:t xml:space="preserve">which increased </w:t>
      </w:r>
      <w:r w:rsidR="001A28E4" w:rsidRPr="00B37972">
        <w:rPr>
          <w:rFonts w:ascii="Verdana" w:hAnsi="Verdana"/>
          <w:sz w:val="20"/>
        </w:rPr>
        <w:t xml:space="preserve">the </w:t>
      </w:r>
      <w:r w:rsidR="003E1F58" w:rsidRPr="00B37972">
        <w:rPr>
          <w:rFonts w:ascii="Verdana" w:hAnsi="Verdana"/>
          <w:sz w:val="20"/>
        </w:rPr>
        <w:t xml:space="preserve">duration of </w:t>
      </w:r>
      <w:r w:rsidR="001A28E4" w:rsidRPr="00B37972">
        <w:rPr>
          <w:rFonts w:ascii="Verdana" w:hAnsi="Verdana"/>
          <w:sz w:val="20"/>
        </w:rPr>
        <w:t xml:space="preserve">professional training of the auditors of justice </w:t>
      </w:r>
      <w:r w:rsidR="003E1F58" w:rsidRPr="00B37972">
        <w:rPr>
          <w:rFonts w:ascii="Verdana" w:hAnsi="Verdana"/>
          <w:sz w:val="20"/>
        </w:rPr>
        <w:t xml:space="preserve">at the National Institute of Magistracy (NIM) from two to four </w:t>
      </w:r>
      <w:r w:rsidR="001A28E4" w:rsidRPr="00B37972">
        <w:rPr>
          <w:rFonts w:ascii="Verdana" w:hAnsi="Verdana"/>
          <w:sz w:val="20"/>
        </w:rPr>
        <w:t xml:space="preserve">years. </w:t>
      </w:r>
      <w:r w:rsidRPr="00B37972">
        <w:rPr>
          <w:rFonts w:ascii="Verdana" w:hAnsi="Verdana"/>
          <w:sz w:val="20"/>
        </w:rPr>
        <w:t xml:space="preserve">The duration of </w:t>
      </w:r>
      <w:r w:rsidR="001A28E4" w:rsidRPr="00B37972">
        <w:rPr>
          <w:rFonts w:ascii="Verdana" w:hAnsi="Verdana"/>
          <w:sz w:val="20"/>
        </w:rPr>
        <w:t xml:space="preserve">the internship of trainee judges and prosecutors </w:t>
      </w:r>
      <w:r w:rsidRPr="00B37972">
        <w:rPr>
          <w:rFonts w:ascii="Verdana" w:hAnsi="Verdana"/>
          <w:sz w:val="20"/>
        </w:rPr>
        <w:t xml:space="preserve">has also been increased from one to two </w:t>
      </w:r>
      <w:r w:rsidR="001A28E4" w:rsidRPr="00B37972">
        <w:rPr>
          <w:rFonts w:ascii="Verdana" w:hAnsi="Verdana"/>
          <w:sz w:val="20"/>
        </w:rPr>
        <w:t xml:space="preserve">years. </w:t>
      </w:r>
      <w:r w:rsidR="00FE043E" w:rsidRPr="00B37972">
        <w:rPr>
          <w:rFonts w:ascii="Verdana" w:hAnsi="Verdana"/>
          <w:sz w:val="20"/>
        </w:rPr>
        <w:t xml:space="preserve">It was initially intended to apply these newly </w:t>
      </w:r>
      <w:r w:rsidR="001A28E4" w:rsidRPr="00B37972">
        <w:rPr>
          <w:rFonts w:ascii="Verdana" w:hAnsi="Verdana"/>
          <w:sz w:val="20"/>
        </w:rPr>
        <w:t xml:space="preserve">introduced provisions to </w:t>
      </w:r>
      <w:r w:rsidRPr="00B37972">
        <w:rPr>
          <w:rFonts w:ascii="Verdana" w:hAnsi="Verdana"/>
          <w:sz w:val="20"/>
        </w:rPr>
        <w:t xml:space="preserve">those entering </w:t>
      </w:r>
      <w:r w:rsidR="001A28E4" w:rsidRPr="00B37972">
        <w:rPr>
          <w:rFonts w:ascii="Verdana" w:hAnsi="Verdana"/>
          <w:sz w:val="20"/>
        </w:rPr>
        <w:t xml:space="preserve">the </w:t>
      </w:r>
      <w:r w:rsidRPr="00B37972">
        <w:rPr>
          <w:rFonts w:ascii="Verdana" w:hAnsi="Verdana"/>
          <w:sz w:val="20"/>
        </w:rPr>
        <w:t xml:space="preserve">NIM </w:t>
      </w:r>
      <w:r w:rsidR="001A28E4" w:rsidRPr="00B37972">
        <w:rPr>
          <w:rFonts w:ascii="Verdana" w:hAnsi="Verdana"/>
          <w:sz w:val="20"/>
        </w:rPr>
        <w:t>in 2019 – 2020</w:t>
      </w:r>
      <w:r w:rsidRPr="00B37972">
        <w:rPr>
          <w:rFonts w:ascii="Verdana" w:hAnsi="Verdana"/>
          <w:sz w:val="20"/>
        </w:rPr>
        <w:t xml:space="preserve"> academic year. </w:t>
      </w:r>
      <w:r w:rsidR="00FE043E" w:rsidRPr="00B37972">
        <w:rPr>
          <w:rFonts w:ascii="Verdana" w:hAnsi="Verdana"/>
          <w:sz w:val="20"/>
        </w:rPr>
        <w:t xml:space="preserve">However, the </w:t>
      </w:r>
      <w:r w:rsidR="001A28E4" w:rsidRPr="00B37972">
        <w:rPr>
          <w:rFonts w:ascii="Verdana" w:hAnsi="Verdana"/>
          <w:sz w:val="20"/>
        </w:rPr>
        <w:t xml:space="preserve">Plenum of the SCM proposed </w:t>
      </w:r>
      <w:r w:rsidR="00FE043E" w:rsidRPr="00B37972">
        <w:rPr>
          <w:rFonts w:ascii="Verdana" w:hAnsi="Verdana"/>
          <w:sz w:val="20"/>
        </w:rPr>
        <w:t xml:space="preserve">postponing </w:t>
      </w:r>
      <w:r w:rsidR="001A28E4" w:rsidRPr="00B37972">
        <w:rPr>
          <w:rFonts w:ascii="Verdana" w:hAnsi="Verdana"/>
          <w:sz w:val="20"/>
        </w:rPr>
        <w:t>the application of the</w:t>
      </w:r>
      <w:r w:rsidR="00FE043E" w:rsidRPr="00B37972">
        <w:rPr>
          <w:rFonts w:ascii="Verdana" w:hAnsi="Verdana"/>
          <w:sz w:val="20"/>
        </w:rPr>
        <w:t>se</w:t>
      </w:r>
      <w:r w:rsidR="001A28E4" w:rsidRPr="00B37972">
        <w:rPr>
          <w:rFonts w:ascii="Verdana" w:hAnsi="Verdana"/>
          <w:sz w:val="20"/>
        </w:rPr>
        <w:t xml:space="preserve"> changes </w:t>
      </w:r>
      <w:r w:rsidR="00FE043E" w:rsidRPr="00B37972">
        <w:rPr>
          <w:rFonts w:ascii="Verdana" w:hAnsi="Verdana"/>
          <w:sz w:val="20"/>
        </w:rPr>
        <w:t xml:space="preserve">to 1 January 2020, which was reflected in Government Emergency Ordinance no. </w:t>
      </w:r>
      <w:r w:rsidR="0013617A">
        <w:rPr>
          <w:rFonts w:ascii="Verdana" w:hAnsi="Verdana"/>
          <w:sz w:val="20"/>
        </w:rPr>
        <w:t>7/2019</w:t>
      </w:r>
      <w:r w:rsidR="00FE043E" w:rsidRPr="00B37972">
        <w:rPr>
          <w:rFonts w:ascii="Verdana" w:hAnsi="Verdana"/>
          <w:sz w:val="20"/>
        </w:rPr>
        <w:t>.</w:t>
      </w:r>
      <w:r w:rsidR="0038249E" w:rsidRPr="00B37972">
        <w:rPr>
          <w:rFonts w:ascii="Verdana" w:hAnsi="Verdana"/>
          <w:sz w:val="20"/>
        </w:rPr>
        <w:t xml:space="preserve"> In addition, the authorities inform GRECO of the postpon</w:t>
      </w:r>
      <w:r w:rsidR="00493064" w:rsidRPr="00B37972">
        <w:rPr>
          <w:rFonts w:ascii="Verdana" w:hAnsi="Verdana"/>
          <w:sz w:val="20"/>
        </w:rPr>
        <w:t>ement</w:t>
      </w:r>
      <w:r w:rsidR="0038249E" w:rsidRPr="00B37972">
        <w:rPr>
          <w:rFonts w:ascii="Verdana" w:hAnsi="Verdana"/>
          <w:sz w:val="20"/>
        </w:rPr>
        <w:t xml:space="preserve"> </w:t>
      </w:r>
      <w:r w:rsidR="00493064" w:rsidRPr="00B37972">
        <w:rPr>
          <w:rFonts w:ascii="Verdana" w:hAnsi="Verdana"/>
          <w:sz w:val="20"/>
        </w:rPr>
        <w:t xml:space="preserve">of </w:t>
      </w:r>
      <w:r w:rsidR="001A28E4" w:rsidRPr="00B37972">
        <w:rPr>
          <w:rFonts w:ascii="Verdana" w:hAnsi="Verdana"/>
          <w:sz w:val="20"/>
        </w:rPr>
        <w:t xml:space="preserve">the hearing of appeals </w:t>
      </w:r>
      <w:r w:rsidR="0038249E" w:rsidRPr="00B37972">
        <w:rPr>
          <w:rFonts w:ascii="Verdana" w:hAnsi="Verdana"/>
          <w:sz w:val="20"/>
        </w:rPr>
        <w:t xml:space="preserve">by </w:t>
      </w:r>
      <w:r w:rsidR="001A28E4" w:rsidRPr="00B37972">
        <w:rPr>
          <w:rFonts w:ascii="Verdana" w:hAnsi="Verdana"/>
          <w:sz w:val="20"/>
        </w:rPr>
        <w:t xml:space="preserve">a panel consisting of </w:t>
      </w:r>
      <w:r w:rsidR="0038249E" w:rsidRPr="00B37972">
        <w:rPr>
          <w:rFonts w:ascii="Verdana" w:hAnsi="Verdana"/>
          <w:sz w:val="20"/>
        </w:rPr>
        <w:t xml:space="preserve">three </w:t>
      </w:r>
      <w:r w:rsidR="001A28E4" w:rsidRPr="00B37972">
        <w:rPr>
          <w:rFonts w:ascii="Verdana" w:hAnsi="Verdana"/>
          <w:sz w:val="20"/>
        </w:rPr>
        <w:t>judges (</w:t>
      </w:r>
      <w:r w:rsidR="0038249E" w:rsidRPr="00B37972">
        <w:rPr>
          <w:rFonts w:ascii="Verdana" w:hAnsi="Verdana"/>
          <w:sz w:val="20"/>
        </w:rPr>
        <w:t xml:space="preserve">currently such a </w:t>
      </w:r>
      <w:r w:rsidR="001A28E4" w:rsidRPr="00B37972">
        <w:rPr>
          <w:rFonts w:ascii="Verdana" w:hAnsi="Verdana"/>
          <w:sz w:val="20"/>
        </w:rPr>
        <w:t>panel consist</w:t>
      </w:r>
      <w:r w:rsidR="0038249E" w:rsidRPr="00B37972">
        <w:rPr>
          <w:rFonts w:ascii="Verdana" w:hAnsi="Verdana"/>
          <w:sz w:val="20"/>
        </w:rPr>
        <w:t>s</w:t>
      </w:r>
      <w:r w:rsidR="001A28E4" w:rsidRPr="00B37972">
        <w:rPr>
          <w:rFonts w:ascii="Verdana" w:hAnsi="Verdana"/>
          <w:sz w:val="20"/>
        </w:rPr>
        <w:t xml:space="preserve"> of </w:t>
      </w:r>
      <w:r w:rsidR="0038249E" w:rsidRPr="00B37972">
        <w:rPr>
          <w:rFonts w:ascii="Verdana" w:hAnsi="Verdana"/>
          <w:sz w:val="20"/>
        </w:rPr>
        <w:t xml:space="preserve">two </w:t>
      </w:r>
      <w:r w:rsidR="001A28E4" w:rsidRPr="00B37972">
        <w:rPr>
          <w:rFonts w:ascii="Verdana" w:hAnsi="Verdana"/>
          <w:sz w:val="20"/>
        </w:rPr>
        <w:t>judges)</w:t>
      </w:r>
      <w:r w:rsidR="0038249E" w:rsidRPr="00B37972">
        <w:rPr>
          <w:rFonts w:ascii="Verdana" w:hAnsi="Verdana"/>
          <w:sz w:val="20"/>
        </w:rPr>
        <w:t xml:space="preserve"> until 1 January 2020</w:t>
      </w:r>
      <w:r w:rsidR="001A28E4" w:rsidRPr="00B37972">
        <w:rPr>
          <w:rFonts w:ascii="Verdana" w:hAnsi="Verdana"/>
          <w:sz w:val="20"/>
        </w:rPr>
        <w:t>.</w:t>
      </w:r>
    </w:p>
    <w:p w:rsidR="0038249E" w:rsidRPr="00B37972" w:rsidRDefault="0038249E" w:rsidP="00B37972">
      <w:pPr>
        <w:pStyle w:val="Listparagraf"/>
        <w:tabs>
          <w:tab w:val="left" w:pos="567"/>
        </w:tabs>
        <w:suppressAutoHyphens w:val="0"/>
        <w:spacing w:after="0" w:line="240" w:lineRule="auto"/>
        <w:ind w:left="0"/>
        <w:jc w:val="both"/>
        <w:rPr>
          <w:rFonts w:ascii="Verdana" w:hAnsi="Verdana"/>
          <w:sz w:val="20"/>
        </w:rPr>
      </w:pPr>
    </w:p>
    <w:p w:rsidR="0038249E" w:rsidRPr="00B37972" w:rsidRDefault="0038249E" w:rsidP="00B37972">
      <w:pPr>
        <w:pStyle w:val="Listparagraf"/>
        <w:numPr>
          <w:ilvl w:val="0"/>
          <w:numId w:val="5"/>
        </w:numPr>
        <w:tabs>
          <w:tab w:val="left" w:pos="567"/>
        </w:tabs>
        <w:suppressAutoHyphens w:val="0"/>
        <w:spacing w:after="0" w:line="240" w:lineRule="auto"/>
        <w:ind w:left="0" w:firstLine="0"/>
        <w:jc w:val="both"/>
        <w:rPr>
          <w:rFonts w:ascii="Verdana" w:hAnsi="Verdana"/>
          <w:sz w:val="20"/>
        </w:rPr>
      </w:pPr>
      <w:r w:rsidRPr="00B37972">
        <w:rPr>
          <w:rFonts w:ascii="Verdana" w:hAnsi="Verdana"/>
          <w:sz w:val="20"/>
          <w:u w:val="single"/>
        </w:rPr>
        <w:t>GRECO</w:t>
      </w:r>
      <w:r w:rsidRPr="00B37972">
        <w:rPr>
          <w:rFonts w:ascii="Verdana" w:hAnsi="Verdana"/>
          <w:sz w:val="20"/>
        </w:rPr>
        <w:t xml:space="preserve"> takes note of the information provided. With regard to assessing the impact of legislative changes on </w:t>
      </w:r>
      <w:r w:rsidR="00493064" w:rsidRPr="00B37972">
        <w:rPr>
          <w:rFonts w:ascii="Verdana" w:hAnsi="Verdana"/>
          <w:sz w:val="20"/>
        </w:rPr>
        <w:t xml:space="preserve">the </w:t>
      </w:r>
      <w:r w:rsidR="00322DA0" w:rsidRPr="00B37972">
        <w:rPr>
          <w:rFonts w:ascii="Verdana" w:hAnsi="Verdana"/>
          <w:sz w:val="20"/>
        </w:rPr>
        <w:t xml:space="preserve">staff structure of courts and prosecution services, GRECO notes the </w:t>
      </w:r>
      <w:r w:rsidR="0029032B">
        <w:rPr>
          <w:rFonts w:ascii="Verdana" w:hAnsi="Verdana"/>
          <w:sz w:val="20"/>
        </w:rPr>
        <w:t xml:space="preserve">statistics </w:t>
      </w:r>
      <w:r w:rsidR="00322DA0" w:rsidRPr="00B37972">
        <w:rPr>
          <w:rFonts w:ascii="Verdana" w:hAnsi="Verdana"/>
          <w:sz w:val="20"/>
        </w:rPr>
        <w:t>regarding retirement practices among judges and prosecutors eligible to do so</w:t>
      </w:r>
      <w:r w:rsidR="00432A4E" w:rsidRPr="00B37972">
        <w:rPr>
          <w:rFonts w:ascii="Verdana" w:hAnsi="Verdana"/>
          <w:sz w:val="20"/>
        </w:rPr>
        <w:t xml:space="preserve">, which </w:t>
      </w:r>
      <w:r w:rsidR="0097214D" w:rsidRPr="00B37972">
        <w:rPr>
          <w:rFonts w:ascii="Verdana" w:hAnsi="Verdana"/>
          <w:sz w:val="20"/>
        </w:rPr>
        <w:t xml:space="preserve">contains </w:t>
      </w:r>
      <w:r w:rsidR="00322DA0" w:rsidRPr="00B37972">
        <w:rPr>
          <w:rFonts w:ascii="Verdana" w:hAnsi="Verdana"/>
          <w:sz w:val="20"/>
        </w:rPr>
        <w:t xml:space="preserve">figures of judges and prosecutors who have effectively retired in previous years, and their proportion to a total number of judges and prosecutors who were entitled </w:t>
      </w:r>
      <w:r w:rsidR="00322DA0" w:rsidRPr="00B37972">
        <w:rPr>
          <w:rFonts w:ascii="Verdana" w:hAnsi="Verdana"/>
          <w:sz w:val="20"/>
        </w:rPr>
        <w:lastRenderedPageBreak/>
        <w:t xml:space="preserve">to retirement pension. However, in GRECO’s view, </w:t>
      </w:r>
      <w:r w:rsidR="007D6214" w:rsidRPr="00B37972">
        <w:rPr>
          <w:rFonts w:ascii="Verdana" w:hAnsi="Verdana"/>
          <w:sz w:val="20"/>
        </w:rPr>
        <w:t xml:space="preserve">the assumption that the proportion of judges and prosecutors effectively retiring will remain similar to the one observed in previous years may </w:t>
      </w:r>
      <w:r w:rsidR="00432A4E" w:rsidRPr="00B37972">
        <w:rPr>
          <w:rFonts w:ascii="Verdana" w:hAnsi="Verdana"/>
          <w:sz w:val="20"/>
        </w:rPr>
        <w:t>no longer be applicable</w:t>
      </w:r>
      <w:r w:rsidR="0029032B">
        <w:rPr>
          <w:rFonts w:ascii="Verdana" w:hAnsi="Verdana"/>
          <w:sz w:val="20"/>
        </w:rPr>
        <w:t>,</w:t>
      </w:r>
      <w:r w:rsidR="00432A4E" w:rsidRPr="00B37972">
        <w:rPr>
          <w:rFonts w:ascii="Verdana" w:hAnsi="Verdana"/>
          <w:sz w:val="20"/>
        </w:rPr>
        <w:t xml:space="preserve"> </w:t>
      </w:r>
      <w:r w:rsidR="007D6214" w:rsidRPr="00B37972">
        <w:rPr>
          <w:rFonts w:ascii="Verdana" w:hAnsi="Verdana"/>
          <w:sz w:val="20"/>
        </w:rPr>
        <w:t xml:space="preserve">once the new </w:t>
      </w:r>
      <w:r w:rsidR="00432A4E" w:rsidRPr="00B37972">
        <w:rPr>
          <w:rFonts w:ascii="Verdana" w:hAnsi="Verdana"/>
          <w:sz w:val="20"/>
        </w:rPr>
        <w:t xml:space="preserve">retirement arrangements </w:t>
      </w:r>
      <w:r w:rsidR="007D6214" w:rsidRPr="00B37972">
        <w:rPr>
          <w:rFonts w:ascii="Verdana" w:hAnsi="Verdana"/>
          <w:sz w:val="20"/>
        </w:rPr>
        <w:t xml:space="preserve">enter into force, because </w:t>
      </w:r>
      <w:r w:rsidR="00432A4E" w:rsidRPr="00B37972">
        <w:rPr>
          <w:rFonts w:ascii="Verdana" w:hAnsi="Verdana"/>
          <w:sz w:val="20"/>
        </w:rPr>
        <w:t xml:space="preserve">they </w:t>
      </w:r>
      <w:r w:rsidR="007D6214" w:rsidRPr="00B37972">
        <w:rPr>
          <w:rFonts w:ascii="Verdana" w:hAnsi="Verdana"/>
          <w:sz w:val="20"/>
        </w:rPr>
        <w:t>offer new incentives</w:t>
      </w:r>
      <w:r w:rsidR="0029032B">
        <w:rPr>
          <w:rFonts w:ascii="Verdana" w:hAnsi="Verdana"/>
          <w:sz w:val="20"/>
        </w:rPr>
        <w:t>, which</w:t>
      </w:r>
      <w:r w:rsidR="007D6214" w:rsidRPr="00B37972">
        <w:rPr>
          <w:rFonts w:ascii="Verdana" w:hAnsi="Verdana"/>
          <w:sz w:val="20"/>
        </w:rPr>
        <w:t xml:space="preserve"> currently </w:t>
      </w:r>
      <w:r w:rsidR="0029032B">
        <w:rPr>
          <w:rFonts w:ascii="Verdana" w:hAnsi="Verdana"/>
          <w:sz w:val="20"/>
        </w:rPr>
        <w:t xml:space="preserve">are </w:t>
      </w:r>
      <w:r w:rsidR="00432A4E" w:rsidRPr="00B37972">
        <w:rPr>
          <w:rFonts w:ascii="Verdana" w:hAnsi="Verdana"/>
          <w:sz w:val="20"/>
        </w:rPr>
        <w:t xml:space="preserve">not </w:t>
      </w:r>
      <w:r w:rsidR="007D6214" w:rsidRPr="00B37972">
        <w:rPr>
          <w:rFonts w:ascii="Verdana" w:hAnsi="Verdana"/>
          <w:sz w:val="20"/>
        </w:rPr>
        <w:t xml:space="preserve">in place. Indeed, as the authorities </w:t>
      </w:r>
      <w:r w:rsidR="00432A4E" w:rsidRPr="00B37972">
        <w:rPr>
          <w:rFonts w:ascii="Verdana" w:hAnsi="Verdana"/>
          <w:sz w:val="20"/>
        </w:rPr>
        <w:t xml:space="preserve">indicated, </w:t>
      </w:r>
      <w:r w:rsidR="007D6214" w:rsidRPr="00B37972">
        <w:rPr>
          <w:rFonts w:ascii="Verdana" w:hAnsi="Verdana"/>
          <w:sz w:val="20"/>
        </w:rPr>
        <w:t xml:space="preserve">the entry into force of this provision has been postponed by the GEO no. 92/2018 </w:t>
      </w:r>
      <w:r w:rsidR="00432A4E" w:rsidRPr="00B37972">
        <w:rPr>
          <w:rFonts w:ascii="Verdana" w:hAnsi="Verdana"/>
          <w:sz w:val="20"/>
        </w:rPr>
        <w:t xml:space="preserve">until 1 January 2020. It would appear that no further measures are envisaged at this point to </w:t>
      </w:r>
      <w:r w:rsidR="00156EB3" w:rsidRPr="00B37972">
        <w:rPr>
          <w:rFonts w:ascii="Verdana" w:hAnsi="Verdana"/>
          <w:sz w:val="20"/>
        </w:rPr>
        <w:t xml:space="preserve">avoid and </w:t>
      </w:r>
      <w:r w:rsidR="00220D6C" w:rsidRPr="00B37972">
        <w:rPr>
          <w:rFonts w:ascii="Verdana" w:hAnsi="Verdana"/>
          <w:sz w:val="20"/>
        </w:rPr>
        <w:t xml:space="preserve">manage possible </w:t>
      </w:r>
      <w:r w:rsidR="00F63E4A" w:rsidRPr="00B37972">
        <w:rPr>
          <w:rFonts w:ascii="Verdana" w:hAnsi="Verdana"/>
          <w:sz w:val="20"/>
        </w:rPr>
        <w:t xml:space="preserve">large-scale </w:t>
      </w:r>
      <w:r w:rsidR="007D6214" w:rsidRPr="00B37972">
        <w:rPr>
          <w:rFonts w:ascii="Verdana" w:hAnsi="Verdana"/>
          <w:sz w:val="20"/>
        </w:rPr>
        <w:t>retir</w:t>
      </w:r>
      <w:r w:rsidR="00F63E4A" w:rsidRPr="00B37972">
        <w:rPr>
          <w:rFonts w:ascii="Verdana" w:hAnsi="Verdana"/>
          <w:sz w:val="20"/>
        </w:rPr>
        <w:t>ement of judges and prosecutor</w:t>
      </w:r>
      <w:r w:rsidR="007F04A7" w:rsidRPr="00B37972">
        <w:rPr>
          <w:rFonts w:ascii="Verdana" w:hAnsi="Verdana"/>
          <w:sz w:val="20"/>
        </w:rPr>
        <w:t>s</w:t>
      </w:r>
      <w:r w:rsidR="00220D6C" w:rsidRPr="00B37972">
        <w:rPr>
          <w:rFonts w:ascii="Verdana" w:hAnsi="Verdana"/>
          <w:sz w:val="20"/>
        </w:rPr>
        <w:t>,</w:t>
      </w:r>
      <w:r w:rsidR="007F04A7" w:rsidRPr="00B37972">
        <w:rPr>
          <w:rFonts w:ascii="Verdana" w:hAnsi="Verdana"/>
          <w:sz w:val="20"/>
        </w:rPr>
        <w:t xml:space="preserve"> once the amendment enters into force on 1 January 2020</w:t>
      </w:r>
      <w:r w:rsidR="00F63E4A" w:rsidRPr="00B37972">
        <w:rPr>
          <w:rFonts w:ascii="Verdana" w:hAnsi="Verdana"/>
          <w:sz w:val="20"/>
        </w:rPr>
        <w:t xml:space="preserve">. </w:t>
      </w:r>
      <w:r w:rsidR="00156EB3" w:rsidRPr="00B37972">
        <w:rPr>
          <w:rFonts w:ascii="Verdana" w:hAnsi="Verdana"/>
          <w:sz w:val="20"/>
        </w:rPr>
        <w:t>Consequently,</w:t>
      </w:r>
      <w:r w:rsidR="00F63E4A" w:rsidRPr="00B37972">
        <w:rPr>
          <w:rFonts w:ascii="Verdana" w:hAnsi="Verdana"/>
          <w:sz w:val="20"/>
        </w:rPr>
        <w:t xml:space="preserve"> some </w:t>
      </w:r>
      <w:r w:rsidR="00660749" w:rsidRPr="00B37972">
        <w:rPr>
          <w:rFonts w:ascii="Verdana" w:hAnsi="Verdana"/>
          <w:sz w:val="20"/>
        </w:rPr>
        <w:t xml:space="preserve">preliminary </w:t>
      </w:r>
      <w:r w:rsidR="00F63E4A" w:rsidRPr="00B37972">
        <w:rPr>
          <w:rFonts w:ascii="Verdana" w:hAnsi="Verdana"/>
          <w:sz w:val="20"/>
        </w:rPr>
        <w:t>steps have been taken to address this part of the recommendation</w:t>
      </w:r>
      <w:r w:rsidR="00156EB3" w:rsidRPr="00B37972">
        <w:rPr>
          <w:rFonts w:ascii="Verdana" w:hAnsi="Verdana"/>
          <w:sz w:val="20"/>
        </w:rPr>
        <w:t>, but more is required in this respect</w:t>
      </w:r>
      <w:r w:rsidR="00660749" w:rsidRPr="00B37972">
        <w:rPr>
          <w:rFonts w:ascii="Verdana" w:hAnsi="Verdana"/>
          <w:sz w:val="20"/>
        </w:rPr>
        <w:t>.</w:t>
      </w:r>
    </w:p>
    <w:p w:rsidR="00F63E4A" w:rsidRPr="00B37972" w:rsidRDefault="00F63E4A" w:rsidP="00B37972">
      <w:pPr>
        <w:pStyle w:val="Listparagraf"/>
        <w:tabs>
          <w:tab w:val="left" w:pos="567"/>
        </w:tabs>
        <w:suppressAutoHyphens w:val="0"/>
        <w:spacing w:after="0" w:line="240" w:lineRule="auto"/>
        <w:ind w:left="0"/>
        <w:jc w:val="both"/>
        <w:rPr>
          <w:rFonts w:ascii="Verdana" w:hAnsi="Verdana"/>
          <w:sz w:val="20"/>
        </w:rPr>
      </w:pPr>
    </w:p>
    <w:p w:rsidR="00660749" w:rsidRPr="00B37972" w:rsidRDefault="00F63E4A" w:rsidP="00B37972">
      <w:pPr>
        <w:pStyle w:val="Listparagraf"/>
        <w:numPr>
          <w:ilvl w:val="0"/>
          <w:numId w:val="5"/>
        </w:numPr>
        <w:tabs>
          <w:tab w:val="left" w:pos="567"/>
        </w:tabs>
        <w:suppressAutoHyphens w:val="0"/>
        <w:spacing w:after="0" w:line="240" w:lineRule="auto"/>
        <w:ind w:left="0" w:firstLine="0"/>
        <w:jc w:val="both"/>
        <w:rPr>
          <w:rFonts w:ascii="Verdana" w:hAnsi="Verdana"/>
          <w:sz w:val="20"/>
        </w:rPr>
      </w:pPr>
      <w:r w:rsidRPr="00B37972">
        <w:rPr>
          <w:rFonts w:ascii="Verdana" w:hAnsi="Verdana"/>
          <w:sz w:val="20"/>
        </w:rPr>
        <w:t xml:space="preserve">Regarding the second part of </w:t>
      </w:r>
      <w:r w:rsidR="00660749" w:rsidRPr="00B37972">
        <w:rPr>
          <w:rFonts w:ascii="Verdana" w:hAnsi="Verdana"/>
          <w:sz w:val="20"/>
        </w:rPr>
        <w:t>the</w:t>
      </w:r>
      <w:r w:rsidRPr="00B37972">
        <w:rPr>
          <w:rFonts w:ascii="Verdana" w:hAnsi="Verdana"/>
          <w:sz w:val="20"/>
        </w:rPr>
        <w:t xml:space="preserve"> recommendation, </w:t>
      </w:r>
      <w:r w:rsidR="00744032">
        <w:rPr>
          <w:rFonts w:ascii="Verdana" w:hAnsi="Verdana"/>
          <w:sz w:val="20"/>
        </w:rPr>
        <w:t xml:space="preserve">while preparatory work appears to be on-going, </w:t>
      </w:r>
      <w:r w:rsidRPr="00B37972">
        <w:rPr>
          <w:rFonts w:ascii="Verdana" w:hAnsi="Verdana"/>
          <w:sz w:val="20"/>
        </w:rPr>
        <w:t xml:space="preserve">no rules have been adopted </w:t>
      </w:r>
      <w:r w:rsidR="00660749" w:rsidRPr="00B37972">
        <w:rPr>
          <w:rFonts w:ascii="Verdana" w:hAnsi="Verdana"/>
          <w:sz w:val="20"/>
        </w:rPr>
        <w:t xml:space="preserve">so far </w:t>
      </w:r>
      <w:r w:rsidRPr="00B37972">
        <w:rPr>
          <w:rFonts w:ascii="Verdana" w:hAnsi="Verdana"/>
          <w:sz w:val="20"/>
        </w:rPr>
        <w:t xml:space="preserve">by the SCM as regards appointment of judges and prosecutors to higher positions, which would provide for </w:t>
      </w:r>
      <w:r w:rsidR="00156EB3" w:rsidRPr="00B37972">
        <w:rPr>
          <w:rFonts w:ascii="Verdana" w:hAnsi="Verdana"/>
          <w:sz w:val="20"/>
        </w:rPr>
        <w:t xml:space="preserve">the implementation of </w:t>
      </w:r>
      <w:r w:rsidRPr="00B37972">
        <w:rPr>
          <w:rFonts w:ascii="Verdana" w:hAnsi="Verdana"/>
          <w:sz w:val="20"/>
        </w:rPr>
        <w:t>adequate, objective and clear criteria, taking into account merit and qualifications.</w:t>
      </w:r>
    </w:p>
    <w:p w:rsidR="00220D6C" w:rsidRPr="00B37972" w:rsidRDefault="00220D6C" w:rsidP="00B37972">
      <w:pPr>
        <w:pStyle w:val="Listparagraf"/>
        <w:tabs>
          <w:tab w:val="left" w:pos="567"/>
        </w:tabs>
        <w:suppressAutoHyphens w:val="0"/>
        <w:spacing w:after="0" w:line="240" w:lineRule="auto"/>
        <w:ind w:left="0"/>
        <w:jc w:val="both"/>
        <w:rPr>
          <w:rFonts w:ascii="Verdana" w:hAnsi="Verdana"/>
          <w:b/>
          <w:sz w:val="20"/>
        </w:rPr>
      </w:pPr>
    </w:p>
    <w:p w:rsidR="00F63E4A" w:rsidRPr="00B37972" w:rsidRDefault="00F63E4A" w:rsidP="00B37972">
      <w:pPr>
        <w:pStyle w:val="Listparagraf"/>
        <w:numPr>
          <w:ilvl w:val="0"/>
          <w:numId w:val="5"/>
        </w:numPr>
        <w:tabs>
          <w:tab w:val="left" w:pos="567"/>
        </w:tabs>
        <w:suppressAutoHyphens w:val="0"/>
        <w:spacing w:after="0" w:line="240" w:lineRule="auto"/>
        <w:ind w:left="0" w:firstLine="0"/>
        <w:jc w:val="both"/>
        <w:rPr>
          <w:rFonts w:ascii="Verdana" w:hAnsi="Verdana"/>
          <w:sz w:val="20"/>
          <w:u w:val="single"/>
        </w:rPr>
      </w:pPr>
      <w:r w:rsidRPr="00B37972">
        <w:rPr>
          <w:rFonts w:ascii="Verdana" w:hAnsi="Verdana"/>
          <w:sz w:val="20"/>
          <w:u w:val="single"/>
        </w:rPr>
        <w:t xml:space="preserve">GRECO concludes that </w:t>
      </w:r>
      <w:r w:rsidR="00B53467" w:rsidRPr="00B37972">
        <w:rPr>
          <w:rFonts w:ascii="Verdana" w:hAnsi="Verdana"/>
          <w:sz w:val="20"/>
          <w:u w:val="single"/>
        </w:rPr>
        <w:t xml:space="preserve">this recommendation </w:t>
      </w:r>
      <w:r w:rsidRPr="00B37972">
        <w:rPr>
          <w:rFonts w:ascii="Verdana" w:hAnsi="Verdana"/>
          <w:sz w:val="20"/>
          <w:u w:val="single"/>
        </w:rPr>
        <w:t>has not been implemented</w:t>
      </w:r>
      <w:r w:rsidR="00156EB3" w:rsidRPr="00B37972">
        <w:rPr>
          <w:rFonts w:ascii="Verdana" w:hAnsi="Verdana"/>
          <w:sz w:val="20"/>
        </w:rPr>
        <w:t>.</w:t>
      </w:r>
    </w:p>
    <w:p w:rsidR="002F6505" w:rsidRPr="00B37972" w:rsidRDefault="002F6505" w:rsidP="00B37972">
      <w:pPr>
        <w:pStyle w:val="Listparagraf"/>
        <w:tabs>
          <w:tab w:val="left" w:pos="567"/>
        </w:tabs>
        <w:suppressAutoHyphens w:val="0"/>
        <w:spacing w:after="0" w:line="240" w:lineRule="auto"/>
        <w:ind w:left="0"/>
        <w:jc w:val="both"/>
        <w:rPr>
          <w:rFonts w:ascii="Verdana" w:hAnsi="Verdana"/>
          <w:sz w:val="20"/>
        </w:rPr>
      </w:pPr>
    </w:p>
    <w:p w:rsidR="00D12937" w:rsidRPr="00B37972" w:rsidRDefault="00D12937" w:rsidP="00B37972">
      <w:pPr>
        <w:pStyle w:val="Listparagraf"/>
        <w:numPr>
          <w:ilvl w:val="0"/>
          <w:numId w:val="3"/>
        </w:numPr>
        <w:suppressAutoHyphens w:val="0"/>
        <w:spacing w:after="0" w:line="240" w:lineRule="auto"/>
        <w:jc w:val="both"/>
        <w:rPr>
          <w:rFonts w:ascii="Verdana" w:hAnsi="Verdana"/>
          <w:i/>
          <w:sz w:val="20"/>
          <w:szCs w:val="24"/>
        </w:rPr>
      </w:pPr>
      <w:r w:rsidRPr="00B37972">
        <w:rPr>
          <w:rFonts w:ascii="Verdana" w:hAnsi="Verdana"/>
          <w:i/>
          <w:sz w:val="20"/>
          <w:szCs w:val="24"/>
        </w:rPr>
        <w:t xml:space="preserve">The new special prosecutor’s </w:t>
      </w:r>
      <w:r w:rsidR="00F83579" w:rsidRPr="00B37972">
        <w:rPr>
          <w:rFonts w:ascii="Verdana" w:hAnsi="Verdana"/>
          <w:i/>
          <w:sz w:val="20"/>
          <w:szCs w:val="24"/>
        </w:rPr>
        <w:t xml:space="preserve">section </w:t>
      </w:r>
      <w:r w:rsidRPr="00B37972">
        <w:rPr>
          <w:rFonts w:ascii="Verdana" w:hAnsi="Verdana"/>
          <w:i/>
          <w:sz w:val="20"/>
          <w:szCs w:val="24"/>
        </w:rPr>
        <w:t xml:space="preserve">for </w:t>
      </w:r>
      <w:r w:rsidR="009F5DB6" w:rsidRPr="00B37972">
        <w:rPr>
          <w:rFonts w:ascii="Verdana" w:hAnsi="Verdana"/>
          <w:i/>
          <w:sz w:val="20"/>
          <w:szCs w:val="24"/>
        </w:rPr>
        <w:t xml:space="preserve">the investigation of </w:t>
      </w:r>
      <w:r w:rsidRPr="00B37972">
        <w:rPr>
          <w:rFonts w:ascii="Verdana" w:hAnsi="Verdana"/>
          <w:i/>
          <w:sz w:val="20"/>
          <w:szCs w:val="24"/>
        </w:rPr>
        <w:t xml:space="preserve">offences </w:t>
      </w:r>
      <w:r w:rsidR="009F5DB6" w:rsidRPr="00B37972">
        <w:rPr>
          <w:rFonts w:ascii="Verdana" w:hAnsi="Verdana"/>
          <w:i/>
          <w:sz w:val="20"/>
          <w:szCs w:val="24"/>
        </w:rPr>
        <w:t>in the judiciary</w:t>
      </w:r>
    </w:p>
    <w:p w:rsidR="00D12937" w:rsidRPr="00B37972" w:rsidRDefault="00D12937" w:rsidP="00B37972">
      <w:pPr>
        <w:pStyle w:val="Listparagraf"/>
        <w:tabs>
          <w:tab w:val="left" w:pos="567"/>
        </w:tabs>
        <w:suppressAutoHyphens w:val="0"/>
        <w:spacing w:after="0" w:line="240" w:lineRule="auto"/>
        <w:ind w:left="0"/>
        <w:jc w:val="both"/>
        <w:rPr>
          <w:rFonts w:ascii="Verdana" w:hAnsi="Verdana"/>
          <w:sz w:val="20"/>
          <w:szCs w:val="24"/>
        </w:rPr>
      </w:pPr>
    </w:p>
    <w:p w:rsidR="00AE6CD4" w:rsidRPr="00B37972" w:rsidRDefault="00D12937"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rPr>
        <w:t xml:space="preserve">In the </w:t>
      </w:r>
      <w:r w:rsidR="006F58B5" w:rsidRPr="00B37972">
        <w:rPr>
          <w:rFonts w:ascii="Verdana" w:hAnsi="Verdana"/>
          <w:sz w:val="20"/>
          <w:szCs w:val="24"/>
        </w:rPr>
        <w:t xml:space="preserve">Ad hoc Report, </w:t>
      </w:r>
      <w:r w:rsidRPr="00B37972">
        <w:rPr>
          <w:rFonts w:ascii="Verdana" w:hAnsi="Verdana"/>
          <w:i/>
          <w:sz w:val="20"/>
          <w:szCs w:val="24"/>
        </w:rPr>
        <w:t xml:space="preserve">GRECO </w:t>
      </w:r>
      <w:r w:rsidR="000B268A" w:rsidRPr="00B37972">
        <w:rPr>
          <w:rFonts w:ascii="Verdana" w:hAnsi="Verdana"/>
          <w:i/>
          <w:sz w:val="20"/>
          <w:szCs w:val="24"/>
        </w:rPr>
        <w:t>recommend</w:t>
      </w:r>
      <w:r w:rsidR="006F58B5" w:rsidRPr="00B37972">
        <w:rPr>
          <w:rFonts w:ascii="Verdana" w:hAnsi="Verdana"/>
          <w:i/>
          <w:sz w:val="20"/>
          <w:szCs w:val="24"/>
        </w:rPr>
        <w:t>ed</w:t>
      </w:r>
      <w:r w:rsidR="000B268A" w:rsidRPr="00B37972">
        <w:rPr>
          <w:rFonts w:ascii="Verdana" w:hAnsi="Verdana"/>
          <w:i/>
          <w:sz w:val="20"/>
          <w:szCs w:val="24"/>
        </w:rPr>
        <w:t xml:space="preserve"> </w:t>
      </w:r>
      <w:r w:rsidRPr="00B37972">
        <w:rPr>
          <w:rFonts w:ascii="Verdana" w:hAnsi="Verdana"/>
          <w:i/>
          <w:sz w:val="20"/>
          <w:szCs w:val="24"/>
        </w:rPr>
        <w:t xml:space="preserve">that </w:t>
      </w:r>
      <w:r w:rsidR="00984C74" w:rsidRPr="00B37972">
        <w:rPr>
          <w:rFonts w:ascii="Verdana" w:hAnsi="Verdana"/>
          <w:i/>
          <w:sz w:val="20"/>
          <w:szCs w:val="24"/>
        </w:rPr>
        <w:t xml:space="preserve">the creation of the new special prosecutor’s </w:t>
      </w:r>
      <w:r w:rsidR="00F83579" w:rsidRPr="00B37972">
        <w:rPr>
          <w:rFonts w:ascii="Verdana" w:hAnsi="Verdana"/>
          <w:i/>
          <w:sz w:val="20"/>
          <w:szCs w:val="24"/>
        </w:rPr>
        <w:t xml:space="preserve">section </w:t>
      </w:r>
      <w:r w:rsidR="00984C74" w:rsidRPr="00B37972">
        <w:rPr>
          <w:rFonts w:ascii="Verdana" w:hAnsi="Verdana"/>
          <w:i/>
          <w:sz w:val="20"/>
          <w:szCs w:val="24"/>
        </w:rPr>
        <w:t xml:space="preserve">for </w:t>
      </w:r>
      <w:r w:rsidR="009F5DB6" w:rsidRPr="00B37972">
        <w:rPr>
          <w:rFonts w:ascii="Verdana" w:hAnsi="Verdana"/>
          <w:i/>
          <w:sz w:val="20"/>
          <w:szCs w:val="24"/>
        </w:rPr>
        <w:t xml:space="preserve">the investigation of </w:t>
      </w:r>
      <w:r w:rsidR="00984C74" w:rsidRPr="00B37972">
        <w:rPr>
          <w:rFonts w:ascii="Verdana" w:hAnsi="Verdana"/>
          <w:i/>
          <w:sz w:val="20"/>
          <w:szCs w:val="24"/>
        </w:rPr>
        <w:t xml:space="preserve">offences </w:t>
      </w:r>
      <w:r w:rsidR="009F5DB6" w:rsidRPr="00B37972">
        <w:rPr>
          <w:rFonts w:ascii="Verdana" w:hAnsi="Verdana"/>
          <w:i/>
          <w:sz w:val="20"/>
          <w:szCs w:val="24"/>
        </w:rPr>
        <w:t xml:space="preserve">in the judiciary </w:t>
      </w:r>
      <w:r w:rsidR="00984C74" w:rsidRPr="00B37972">
        <w:rPr>
          <w:rFonts w:ascii="Verdana" w:hAnsi="Verdana"/>
          <w:i/>
          <w:sz w:val="20"/>
          <w:szCs w:val="24"/>
        </w:rPr>
        <w:t xml:space="preserve">be </w:t>
      </w:r>
      <w:r w:rsidR="00F83579" w:rsidRPr="00B37972">
        <w:rPr>
          <w:rFonts w:ascii="Verdana" w:hAnsi="Verdana"/>
          <w:i/>
          <w:sz w:val="20"/>
          <w:szCs w:val="24"/>
        </w:rPr>
        <w:t>abandoned</w:t>
      </w:r>
      <w:r w:rsidR="00660749" w:rsidRPr="00B37972">
        <w:rPr>
          <w:rFonts w:ascii="Verdana" w:hAnsi="Verdana"/>
          <w:sz w:val="20"/>
          <w:szCs w:val="24"/>
        </w:rPr>
        <w:t xml:space="preserve"> (recommendation ii)</w:t>
      </w:r>
      <w:r w:rsidRPr="00B37972">
        <w:rPr>
          <w:rFonts w:ascii="Verdana" w:hAnsi="Verdana"/>
          <w:i/>
          <w:sz w:val="20"/>
          <w:szCs w:val="24"/>
        </w:rPr>
        <w:t>.</w:t>
      </w:r>
    </w:p>
    <w:p w:rsidR="00AE6CD4" w:rsidRPr="00B37972" w:rsidRDefault="00AE6CD4" w:rsidP="00B37972">
      <w:pPr>
        <w:pStyle w:val="Listparagraf"/>
        <w:tabs>
          <w:tab w:val="left" w:pos="567"/>
        </w:tabs>
        <w:suppressAutoHyphens w:val="0"/>
        <w:spacing w:after="0" w:line="240" w:lineRule="auto"/>
        <w:ind w:left="0"/>
        <w:jc w:val="both"/>
        <w:rPr>
          <w:rFonts w:ascii="Verdana" w:hAnsi="Verdana"/>
          <w:sz w:val="20"/>
          <w:szCs w:val="24"/>
        </w:rPr>
      </w:pPr>
    </w:p>
    <w:p w:rsidR="00FC61FF" w:rsidRPr="00B37972" w:rsidRDefault="00AE6CD4"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u w:val="single"/>
        </w:rPr>
        <w:t>GRECO</w:t>
      </w:r>
      <w:r w:rsidRPr="00B37972">
        <w:rPr>
          <w:rFonts w:ascii="Verdana" w:hAnsi="Verdana"/>
          <w:sz w:val="20"/>
          <w:szCs w:val="24"/>
        </w:rPr>
        <w:t xml:space="preserve"> recalls that </w:t>
      </w:r>
      <w:r w:rsidR="00156EB3" w:rsidRPr="00B37972">
        <w:rPr>
          <w:rFonts w:ascii="Verdana" w:hAnsi="Verdana"/>
          <w:sz w:val="20"/>
          <w:szCs w:val="24"/>
        </w:rPr>
        <w:t xml:space="preserve">it assessed the creation of </w:t>
      </w:r>
      <w:r w:rsidR="00A71BC3" w:rsidRPr="00B37972">
        <w:rPr>
          <w:rFonts w:ascii="Verdana" w:hAnsi="Verdana"/>
          <w:sz w:val="20"/>
          <w:szCs w:val="24"/>
        </w:rPr>
        <w:t xml:space="preserve">the </w:t>
      </w:r>
      <w:r w:rsidR="00156EB3" w:rsidRPr="00B37972">
        <w:rPr>
          <w:rFonts w:ascii="Verdana" w:hAnsi="Verdana"/>
          <w:sz w:val="20"/>
          <w:szCs w:val="24"/>
        </w:rPr>
        <w:t>prosecutor</w:t>
      </w:r>
      <w:r w:rsidR="00A71BC3" w:rsidRPr="00B37972">
        <w:rPr>
          <w:rFonts w:ascii="Verdana" w:hAnsi="Verdana"/>
          <w:sz w:val="20"/>
          <w:szCs w:val="24"/>
        </w:rPr>
        <w:t>’</w:t>
      </w:r>
      <w:r w:rsidR="00156EB3" w:rsidRPr="00B37972">
        <w:rPr>
          <w:rFonts w:ascii="Verdana" w:hAnsi="Verdana"/>
          <w:sz w:val="20"/>
          <w:szCs w:val="24"/>
        </w:rPr>
        <w:t>s section for the investigation of offences in the judiciary as one of the most controversial amendments; it was seen as an anomaly in the existing institutional setting, which could lead to conflicts of jurisdiction and could be misused and subject to undue interference in the criminal justice process.</w:t>
      </w:r>
    </w:p>
    <w:p w:rsidR="00FC61FF" w:rsidRPr="00B37972" w:rsidRDefault="00FC61FF" w:rsidP="00B37972">
      <w:pPr>
        <w:pStyle w:val="Listparagraf"/>
        <w:tabs>
          <w:tab w:val="left" w:pos="567"/>
        </w:tabs>
        <w:suppressAutoHyphens w:val="0"/>
        <w:spacing w:after="0" w:line="240" w:lineRule="auto"/>
        <w:ind w:left="0"/>
        <w:jc w:val="both"/>
        <w:rPr>
          <w:rFonts w:ascii="Verdana" w:hAnsi="Verdana"/>
          <w:sz w:val="20"/>
          <w:szCs w:val="24"/>
        </w:rPr>
      </w:pPr>
    </w:p>
    <w:p w:rsidR="001C4993" w:rsidRPr="00B37972" w:rsidRDefault="001C4993"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u w:val="single"/>
        </w:rPr>
        <w:t>The Romanian authorities</w:t>
      </w:r>
      <w:r w:rsidRPr="00B37972">
        <w:rPr>
          <w:rFonts w:ascii="Verdana" w:hAnsi="Verdana"/>
          <w:sz w:val="20"/>
          <w:szCs w:val="24"/>
        </w:rPr>
        <w:t xml:space="preserve"> refer to Constitutional Court Decision no. 33/23.01.2018,</w:t>
      </w:r>
      <w:r w:rsidR="006E60F9" w:rsidRPr="00B37972">
        <w:rPr>
          <w:rFonts w:ascii="Verdana" w:hAnsi="Verdana"/>
          <w:sz w:val="20"/>
          <w:szCs w:val="24"/>
        </w:rPr>
        <w:t xml:space="preserve"> whereby the Court stated that </w:t>
      </w:r>
      <w:r w:rsidRPr="00B37972">
        <w:rPr>
          <w:rFonts w:ascii="Verdana" w:hAnsi="Verdana"/>
          <w:sz w:val="20"/>
          <w:szCs w:val="24"/>
        </w:rPr>
        <w:t xml:space="preserve">the </w:t>
      </w:r>
      <w:r w:rsidR="006E60F9" w:rsidRPr="00B37972">
        <w:rPr>
          <w:rFonts w:ascii="Verdana" w:hAnsi="Verdana"/>
          <w:sz w:val="20"/>
          <w:szCs w:val="24"/>
        </w:rPr>
        <w:t>setting</w:t>
      </w:r>
      <w:r w:rsidR="004C492C" w:rsidRPr="00B37972">
        <w:rPr>
          <w:rFonts w:ascii="Verdana" w:hAnsi="Verdana"/>
          <w:sz w:val="20"/>
          <w:szCs w:val="24"/>
        </w:rPr>
        <w:t>-</w:t>
      </w:r>
      <w:r w:rsidR="006E60F9" w:rsidRPr="00B37972">
        <w:rPr>
          <w:rFonts w:ascii="Verdana" w:hAnsi="Verdana"/>
          <w:sz w:val="20"/>
          <w:szCs w:val="24"/>
        </w:rPr>
        <w:t xml:space="preserve">up </w:t>
      </w:r>
      <w:r w:rsidRPr="00B37972">
        <w:rPr>
          <w:rFonts w:ascii="Verdana" w:hAnsi="Verdana"/>
          <w:sz w:val="20"/>
          <w:szCs w:val="24"/>
        </w:rPr>
        <w:t>of the Section for the Investigation of Offen</w:t>
      </w:r>
      <w:r w:rsidR="004C492C" w:rsidRPr="00B37972">
        <w:rPr>
          <w:rFonts w:ascii="Verdana" w:hAnsi="Verdana"/>
          <w:sz w:val="20"/>
          <w:szCs w:val="24"/>
        </w:rPr>
        <w:t>c</w:t>
      </w:r>
      <w:r w:rsidRPr="00B37972">
        <w:rPr>
          <w:rFonts w:ascii="Verdana" w:hAnsi="Verdana"/>
          <w:sz w:val="20"/>
          <w:szCs w:val="24"/>
        </w:rPr>
        <w:t>es in the Judiciary within the Prosecutor's Office attached to the High Court of Cassation and Justice</w:t>
      </w:r>
      <w:r w:rsidR="006E60F9" w:rsidRPr="00B37972">
        <w:rPr>
          <w:rFonts w:ascii="Verdana" w:hAnsi="Verdana"/>
          <w:sz w:val="20"/>
          <w:szCs w:val="24"/>
        </w:rPr>
        <w:t xml:space="preserve"> was in conformity</w:t>
      </w:r>
      <w:r w:rsidRPr="00B37972">
        <w:rPr>
          <w:rFonts w:ascii="Verdana" w:hAnsi="Verdana"/>
          <w:sz w:val="20"/>
          <w:szCs w:val="24"/>
        </w:rPr>
        <w:t xml:space="preserve"> with the Constitution. </w:t>
      </w:r>
      <w:r w:rsidR="006E60F9" w:rsidRPr="00B37972">
        <w:rPr>
          <w:rFonts w:ascii="Verdana" w:hAnsi="Verdana"/>
          <w:sz w:val="20"/>
          <w:szCs w:val="24"/>
        </w:rPr>
        <w:t xml:space="preserve">According to the Court, </w:t>
      </w:r>
      <w:r w:rsidRPr="00B37972">
        <w:rPr>
          <w:rFonts w:ascii="Verdana" w:hAnsi="Verdana"/>
          <w:sz w:val="20"/>
          <w:szCs w:val="24"/>
        </w:rPr>
        <w:t xml:space="preserve">the aim of the legislator </w:t>
      </w:r>
      <w:r w:rsidR="004C492C" w:rsidRPr="00B37972">
        <w:rPr>
          <w:rFonts w:ascii="Verdana" w:hAnsi="Verdana"/>
          <w:sz w:val="20"/>
          <w:szCs w:val="24"/>
        </w:rPr>
        <w:t xml:space="preserve">was </w:t>
      </w:r>
      <w:r w:rsidR="0097573E" w:rsidRPr="00B37972">
        <w:rPr>
          <w:rFonts w:ascii="Verdana" w:hAnsi="Verdana"/>
          <w:sz w:val="20"/>
          <w:szCs w:val="24"/>
        </w:rPr>
        <w:t>to</w:t>
      </w:r>
      <w:r w:rsidRPr="00B37972">
        <w:rPr>
          <w:rFonts w:ascii="Verdana" w:hAnsi="Verdana"/>
          <w:sz w:val="20"/>
          <w:szCs w:val="24"/>
        </w:rPr>
        <w:t xml:space="preserve"> establish a speciali</w:t>
      </w:r>
      <w:r w:rsidR="006E60F9" w:rsidRPr="00B37972">
        <w:rPr>
          <w:rFonts w:ascii="Verdana" w:hAnsi="Verdana"/>
          <w:sz w:val="20"/>
          <w:szCs w:val="24"/>
        </w:rPr>
        <w:t>s</w:t>
      </w:r>
      <w:r w:rsidRPr="00B37972">
        <w:rPr>
          <w:rFonts w:ascii="Verdana" w:hAnsi="Verdana"/>
          <w:sz w:val="20"/>
          <w:szCs w:val="24"/>
        </w:rPr>
        <w:t>ed structure with a specific investigative scope</w:t>
      </w:r>
      <w:r w:rsidR="00705B03" w:rsidRPr="00B37972">
        <w:rPr>
          <w:rFonts w:ascii="Verdana" w:hAnsi="Verdana"/>
          <w:sz w:val="20"/>
          <w:szCs w:val="24"/>
        </w:rPr>
        <w:t>:</w:t>
      </w:r>
      <w:r w:rsidR="00B37972" w:rsidRPr="00B37972">
        <w:rPr>
          <w:rFonts w:ascii="Verdana" w:hAnsi="Verdana"/>
          <w:sz w:val="20"/>
          <w:szCs w:val="24"/>
        </w:rPr>
        <w:t xml:space="preserve"> </w:t>
      </w:r>
      <w:r w:rsidRPr="00B37972">
        <w:rPr>
          <w:rFonts w:ascii="Verdana" w:hAnsi="Verdana"/>
          <w:sz w:val="20"/>
          <w:szCs w:val="24"/>
        </w:rPr>
        <w:t>the Section for the Investigation of Offences in the Judiciary constitute</w:t>
      </w:r>
      <w:r w:rsidR="00705B03" w:rsidRPr="00B37972">
        <w:rPr>
          <w:rFonts w:ascii="Verdana" w:hAnsi="Verdana"/>
          <w:sz w:val="20"/>
          <w:szCs w:val="24"/>
        </w:rPr>
        <w:t>d</w:t>
      </w:r>
      <w:r w:rsidRPr="00B37972">
        <w:rPr>
          <w:rFonts w:ascii="Verdana" w:hAnsi="Verdana"/>
          <w:sz w:val="20"/>
          <w:szCs w:val="24"/>
        </w:rPr>
        <w:t xml:space="preserve"> a legal guarantee of the principle of independence of the judiciary, especially with regard to the independence of judges. </w:t>
      </w:r>
      <w:r w:rsidR="00680638" w:rsidRPr="00B37972">
        <w:rPr>
          <w:rFonts w:ascii="Verdana" w:hAnsi="Verdana"/>
          <w:sz w:val="20"/>
          <w:szCs w:val="24"/>
        </w:rPr>
        <w:t>T</w:t>
      </w:r>
      <w:r w:rsidRPr="00B37972">
        <w:rPr>
          <w:rFonts w:ascii="Verdana" w:hAnsi="Verdana"/>
          <w:sz w:val="20"/>
          <w:szCs w:val="24"/>
        </w:rPr>
        <w:t xml:space="preserve">he Court </w:t>
      </w:r>
      <w:r w:rsidR="00680638" w:rsidRPr="00B37972">
        <w:rPr>
          <w:rFonts w:ascii="Verdana" w:hAnsi="Verdana"/>
          <w:sz w:val="20"/>
          <w:szCs w:val="24"/>
        </w:rPr>
        <w:t xml:space="preserve">argued </w:t>
      </w:r>
      <w:r w:rsidRPr="00B37972">
        <w:rPr>
          <w:rFonts w:ascii="Verdana" w:hAnsi="Verdana"/>
          <w:sz w:val="20"/>
          <w:szCs w:val="24"/>
        </w:rPr>
        <w:t xml:space="preserve">that </w:t>
      </w:r>
      <w:r w:rsidR="00680638" w:rsidRPr="00B37972">
        <w:rPr>
          <w:rFonts w:ascii="Verdana" w:hAnsi="Verdana"/>
          <w:sz w:val="20"/>
          <w:szCs w:val="24"/>
        </w:rPr>
        <w:t xml:space="preserve">this new </w:t>
      </w:r>
      <w:r w:rsidRPr="00B37972">
        <w:rPr>
          <w:rFonts w:ascii="Verdana" w:hAnsi="Verdana"/>
          <w:sz w:val="20"/>
          <w:szCs w:val="24"/>
        </w:rPr>
        <w:t xml:space="preserve">Section </w:t>
      </w:r>
      <w:r w:rsidR="00680638" w:rsidRPr="00B37972">
        <w:rPr>
          <w:rFonts w:ascii="Verdana" w:hAnsi="Verdana"/>
          <w:sz w:val="20"/>
          <w:szCs w:val="24"/>
        </w:rPr>
        <w:t xml:space="preserve">would provide </w:t>
      </w:r>
      <w:r w:rsidRPr="00B37972">
        <w:rPr>
          <w:rFonts w:ascii="Verdana" w:hAnsi="Verdana"/>
          <w:sz w:val="20"/>
          <w:szCs w:val="24"/>
        </w:rPr>
        <w:t xml:space="preserve">adequate protection of </w:t>
      </w:r>
      <w:r w:rsidR="00680638" w:rsidRPr="00B37972">
        <w:rPr>
          <w:rFonts w:ascii="Verdana" w:hAnsi="Verdana"/>
          <w:sz w:val="20"/>
          <w:szCs w:val="24"/>
        </w:rPr>
        <w:t xml:space="preserve">judges and prosecutors </w:t>
      </w:r>
      <w:r w:rsidRPr="00B37972">
        <w:rPr>
          <w:rFonts w:ascii="Verdana" w:hAnsi="Verdana"/>
          <w:sz w:val="20"/>
          <w:szCs w:val="24"/>
        </w:rPr>
        <w:t>against arbitrary complaints and ensure a unitary practice regarding the criminal prosecution.</w:t>
      </w:r>
    </w:p>
    <w:p w:rsidR="001C4993" w:rsidRPr="00B37972" w:rsidRDefault="001C4993" w:rsidP="00B37972">
      <w:pPr>
        <w:pStyle w:val="Listparagraf"/>
        <w:tabs>
          <w:tab w:val="left" w:pos="567"/>
        </w:tabs>
        <w:suppressAutoHyphens w:val="0"/>
        <w:spacing w:after="0" w:line="240" w:lineRule="auto"/>
        <w:ind w:left="0"/>
        <w:jc w:val="both"/>
        <w:rPr>
          <w:rFonts w:ascii="Verdana" w:hAnsi="Verdana"/>
          <w:sz w:val="20"/>
          <w:szCs w:val="24"/>
        </w:rPr>
      </w:pPr>
    </w:p>
    <w:p w:rsidR="00257A52" w:rsidRPr="00B37972" w:rsidRDefault="00B06C4D"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rPr>
        <w:t>Further, t</w:t>
      </w:r>
      <w:r w:rsidR="001C4993" w:rsidRPr="00B37972">
        <w:rPr>
          <w:rFonts w:ascii="Verdana" w:hAnsi="Verdana"/>
          <w:sz w:val="20"/>
          <w:szCs w:val="24"/>
        </w:rPr>
        <w:t xml:space="preserve">he </w:t>
      </w:r>
      <w:r w:rsidR="00680638" w:rsidRPr="00B37972">
        <w:rPr>
          <w:rFonts w:ascii="Verdana" w:hAnsi="Verdana"/>
          <w:sz w:val="20"/>
          <w:szCs w:val="24"/>
        </w:rPr>
        <w:t xml:space="preserve">authorities report that </w:t>
      </w:r>
      <w:r w:rsidR="002505CF" w:rsidRPr="00B37972">
        <w:rPr>
          <w:rFonts w:ascii="Verdana" w:hAnsi="Verdana"/>
          <w:sz w:val="20"/>
          <w:szCs w:val="24"/>
        </w:rPr>
        <w:t xml:space="preserve">GEO </w:t>
      </w:r>
      <w:r w:rsidR="001C4993" w:rsidRPr="00B37972">
        <w:rPr>
          <w:rFonts w:ascii="Verdana" w:hAnsi="Verdana"/>
          <w:sz w:val="20"/>
          <w:szCs w:val="24"/>
        </w:rPr>
        <w:t xml:space="preserve">no. 90/2018 </w:t>
      </w:r>
      <w:r w:rsidRPr="00B37972">
        <w:rPr>
          <w:rFonts w:ascii="Verdana" w:hAnsi="Verdana"/>
          <w:sz w:val="20"/>
          <w:szCs w:val="24"/>
        </w:rPr>
        <w:t xml:space="preserve">entered into force on 10 October 2018, </w:t>
      </w:r>
      <w:r w:rsidR="001C4993" w:rsidRPr="00B37972">
        <w:rPr>
          <w:rFonts w:ascii="Verdana" w:hAnsi="Verdana"/>
          <w:sz w:val="20"/>
          <w:szCs w:val="24"/>
        </w:rPr>
        <w:t>containing measures for the operationali</w:t>
      </w:r>
      <w:r w:rsidR="00680638" w:rsidRPr="00B37972">
        <w:rPr>
          <w:rFonts w:ascii="Verdana" w:hAnsi="Verdana"/>
          <w:sz w:val="20"/>
          <w:szCs w:val="24"/>
        </w:rPr>
        <w:t>s</w:t>
      </w:r>
      <w:r w:rsidR="001C4993" w:rsidRPr="00B37972">
        <w:rPr>
          <w:rFonts w:ascii="Verdana" w:hAnsi="Verdana"/>
          <w:sz w:val="20"/>
          <w:szCs w:val="24"/>
        </w:rPr>
        <w:t xml:space="preserve">ation of the Section for the Investigation of Offences in the Judiciary. </w:t>
      </w:r>
      <w:r w:rsidR="00943A7A" w:rsidRPr="00B37972">
        <w:rPr>
          <w:rFonts w:ascii="Verdana" w:hAnsi="Verdana"/>
          <w:sz w:val="20"/>
          <w:szCs w:val="24"/>
        </w:rPr>
        <w:t>T</w:t>
      </w:r>
      <w:r w:rsidR="001C4993" w:rsidRPr="00B37972">
        <w:rPr>
          <w:rFonts w:ascii="Verdana" w:hAnsi="Verdana"/>
          <w:sz w:val="20"/>
          <w:szCs w:val="24"/>
        </w:rPr>
        <w:t>h</w:t>
      </w:r>
      <w:r w:rsidR="00705B03" w:rsidRPr="00B37972">
        <w:rPr>
          <w:rFonts w:ascii="Verdana" w:hAnsi="Verdana"/>
          <w:sz w:val="20"/>
          <w:szCs w:val="24"/>
        </w:rPr>
        <w:t>is</w:t>
      </w:r>
      <w:r w:rsidR="001C4993" w:rsidRPr="00B37972">
        <w:rPr>
          <w:rFonts w:ascii="Verdana" w:hAnsi="Verdana"/>
          <w:sz w:val="20"/>
          <w:szCs w:val="24"/>
        </w:rPr>
        <w:t xml:space="preserve"> </w:t>
      </w:r>
      <w:r w:rsidR="00680638" w:rsidRPr="00B37972">
        <w:rPr>
          <w:rFonts w:ascii="Verdana" w:hAnsi="Verdana"/>
          <w:sz w:val="20"/>
          <w:szCs w:val="24"/>
        </w:rPr>
        <w:t xml:space="preserve">GEO </w:t>
      </w:r>
      <w:r w:rsidR="00943A7A" w:rsidRPr="00B37972">
        <w:rPr>
          <w:rFonts w:ascii="Verdana" w:hAnsi="Verdana"/>
          <w:sz w:val="20"/>
          <w:szCs w:val="24"/>
        </w:rPr>
        <w:t xml:space="preserve">also </w:t>
      </w:r>
      <w:r w:rsidR="00680638" w:rsidRPr="00B37972">
        <w:rPr>
          <w:rFonts w:ascii="Verdana" w:hAnsi="Verdana"/>
          <w:sz w:val="20"/>
          <w:szCs w:val="24"/>
        </w:rPr>
        <w:t xml:space="preserve">set out </w:t>
      </w:r>
      <w:r w:rsidR="001C4993" w:rsidRPr="00B37972">
        <w:rPr>
          <w:rFonts w:ascii="Verdana" w:hAnsi="Verdana"/>
          <w:sz w:val="20"/>
          <w:szCs w:val="24"/>
        </w:rPr>
        <w:t xml:space="preserve">the selection </w:t>
      </w:r>
      <w:r w:rsidR="00680638" w:rsidRPr="00B37972">
        <w:rPr>
          <w:rFonts w:ascii="Verdana" w:hAnsi="Verdana"/>
          <w:sz w:val="20"/>
          <w:szCs w:val="24"/>
        </w:rPr>
        <w:t xml:space="preserve">procedure </w:t>
      </w:r>
      <w:r w:rsidR="005E6043" w:rsidRPr="00B37972">
        <w:rPr>
          <w:rFonts w:ascii="Verdana" w:hAnsi="Verdana"/>
          <w:sz w:val="20"/>
          <w:szCs w:val="24"/>
        </w:rPr>
        <w:t>of prosecutors to be employed in the Section, which should be</w:t>
      </w:r>
      <w:r w:rsidR="00F271D8" w:rsidRPr="00B37972">
        <w:rPr>
          <w:rFonts w:ascii="Verdana" w:hAnsi="Verdana"/>
          <w:sz w:val="20"/>
          <w:szCs w:val="24"/>
        </w:rPr>
        <w:t xml:space="preserve"> carried out </w:t>
      </w:r>
      <w:r w:rsidR="001C4993" w:rsidRPr="00B37972">
        <w:rPr>
          <w:rFonts w:ascii="Verdana" w:hAnsi="Verdana"/>
          <w:sz w:val="20"/>
          <w:szCs w:val="24"/>
        </w:rPr>
        <w:t xml:space="preserve">within </w:t>
      </w:r>
      <w:r w:rsidR="00F271D8" w:rsidRPr="00B37972">
        <w:rPr>
          <w:rFonts w:ascii="Verdana" w:hAnsi="Verdana"/>
          <w:sz w:val="20"/>
          <w:szCs w:val="24"/>
        </w:rPr>
        <w:t xml:space="preserve">five </w:t>
      </w:r>
      <w:r w:rsidR="001C4993" w:rsidRPr="00B37972">
        <w:rPr>
          <w:rFonts w:ascii="Verdana" w:hAnsi="Verdana"/>
          <w:sz w:val="20"/>
          <w:szCs w:val="24"/>
        </w:rPr>
        <w:t xml:space="preserve">calendar days from the date of </w:t>
      </w:r>
      <w:r w:rsidR="00F271D8" w:rsidRPr="00B37972">
        <w:rPr>
          <w:rFonts w:ascii="Verdana" w:hAnsi="Verdana"/>
          <w:sz w:val="20"/>
          <w:szCs w:val="24"/>
        </w:rPr>
        <w:t xml:space="preserve">the vacancy </w:t>
      </w:r>
      <w:r w:rsidR="001C4993" w:rsidRPr="00B37972">
        <w:rPr>
          <w:rFonts w:ascii="Verdana" w:hAnsi="Verdana"/>
          <w:sz w:val="20"/>
          <w:szCs w:val="24"/>
        </w:rPr>
        <w:t xml:space="preserve">opening. </w:t>
      </w:r>
      <w:r w:rsidR="0097573E" w:rsidRPr="00B37972">
        <w:rPr>
          <w:rFonts w:ascii="Verdana" w:hAnsi="Verdana"/>
          <w:sz w:val="20"/>
          <w:szCs w:val="24"/>
        </w:rPr>
        <w:t xml:space="preserve">A </w:t>
      </w:r>
      <w:r w:rsidR="001C4993" w:rsidRPr="00B37972">
        <w:rPr>
          <w:rFonts w:ascii="Verdana" w:hAnsi="Verdana"/>
          <w:sz w:val="20"/>
          <w:szCs w:val="24"/>
        </w:rPr>
        <w:t>contest commission</w:t>
      </w:r>
      <w:r w:rsidR="002505CF" w:rsidRPr="00B37972">
        <w:rPr>
          <w:rFonts w:ascii="Verdana" w:hAnsi="Verdana"/>
          <w:sz w:val="20"/>
          <w:szCs w:val="24"/>
        </w:rPr>
        <w:t xml:space="preserve">, tasked with </w:t>
      </w:r>
      <w:r w:rsidR="005E6043" w:rsidRPr="00B37972">
        <w:rPr>
          <w:rFonts w:ascii="Verdana" w:hAnsi="Verdana"/>
          <w:sz w:val="20"/>
          <w:szCs w:val="24"/>
        </w:rPr>
        <w:t xml:space="preserve">the </w:t>
      </w:r>
      <w:r w:rsidR="002505CF" w:rsidRPr="00B37972">
        <w:rPr>
          <w:rFonts w:ascii="Verdana" w:hAnsi="Verdana"/>
          <w:sz w:val="20"/>
          <w:szCs w:val="24"/>
        </w:rPr>
        <w:t>selection,</w:t>
      </w:r>
      <w:r w:rsidR="001C4993" w:rsidRPr="00B37972">
        <w:rPr>
          <w:rFonts w:ascii="Verdana" w:hAnsi="Verdana"/>
          <w:sz w:val="20"/>
          <w:szCs w:val="24"/>
        </w:rPr>
        <w:t xml:space="preserve"> </w:t>
      </w:r>
      <w:r w:rsidR="00F271D8" w:rsidRPr="00B37972">
        <w:rPr>
          <w:rFonts w:ascii="Verdana" w:hAnsi="Verdana"/>
          <w:sz w:val="20"/>
          <w:szCs w:val="24"/>
        </w:rPr>
        <w:t xml:space="preserve">should </w:t>
      </w:r>
      <w:r w:rsidR="001C4993" w:rsidRPr="00B37972">
        <w:rPr>
          <w:rFonts w:ascii="Verdana" w:hAnsi="Verdana"/>
          <w:sz w:val="20"/>
          <w:szCs w:val="24"/>
        </w:rPr>
        <w:t>verif</w:t>
      </w:r>
      <w:r w:rsidR="00F271D8" w:rsidRPr="00B37972">
        <w:rPr>
          <w:rFonts w:ascii="Verdana" w:hAnsi="Verdana"/>
          <w:sz w:val="20"/>
          <w:szCs w:val="24"/>
        </w:rPr>
        <w:t>y whether</w:t>
      </w:r>
      <w:r w:rsidR="001C4993" w:rsidRPr="00B37972">
        <w:rPr>
          <w:rFonts w:ascii="Verdana" w:hAnsi="Verdana"/>
          <w:sz w:val="20"/>
          <w:szCs w:val="24"/>
        </w:rPr>
        <w:t xml:space="preserve"> the conditions stipulated by the law are met and carr</w:t>
      </w:r>
      <w:r w:rsidR="00F271D8" w:rsidRPr="00B37972">
        <w:rPr>
          <w:rFonts w:ascii="Verdana" w:hAnsi="Verdana"/>
          <w:sz w:val="20"/>
          <w:szCs w:val="24"/>
        </w:rPr>
        <w:t>y</w:t>
      </w:r>
      <w:r w:rsidR="001C4993" w:rsidRPr="00B37972">
        <w:rPr>
          <w:rFonts w:ascii="Verdana" w:hAnsi="Verdana"/>
          <w:sz w:val="20"/>
          <w:szCs w:val="24"/>
        </w:rPr>
        <w:t xml:space="preserve"> out interview</w:t>
      </w:r>
      <w:r w:rsidR="00F271D8" w:rsidRPr="00B37972">
        <w:rPr>
          <w:rFonts w:ascii="Verdana" w:hAnsi="Verdana"/>
          <w:sz w:val="20"/>
          <w:szCs w:val="24"/>
        </w:rPr>
        <w:t xml:space="preserve">s with the candidates, which should be </w:t>
      </w:r>
      <w:r w:rsidR="001C4993" w:rsidRPr="00B37972">
        <w:rPr>
          <w:rFonts w:ascii="Verdana" w:hAnsi="Verdana"/>
          <w:sz w:val="20"/>
          <w:szCs w:val="24"/>
        </w:rPr>
        <w:t xml:space="preserve">broadcast live, </w:t>
      </w:r>
      <w:r w:rsidR="00F271D8" w:rsidRPr="00B37972">
        <w:rPr>
          <w:rFonts w:ascii="Verdana" w:hAnsi="Verdana"/>
          <w:sz w:val="20"/>
          <w:szCs w:val="24"/>
        </w:rPr>
        <w:t xml:space="preserve">with </w:t>
      </w:r>
      <w:r w:rsidR="001C4993" w:rsidRPr="00B37972">
        <w:rPr>
          <w:rFonts w:ascii="Verdana" w:hAnsi="Verdana"/>
          <w:sz w:val="20"/>
          <w:szCs w:val="24"/>
        </w:rPr>
        <w:t>audio</w:t>
      </w:r>
      <w:r w:rsidR="0098041C" w:rsidRPr="00B37972">
        <w:rPr>
          <w:rFonts w:ascii="Verdana" w:hAnsi="Verdana"/>
          <w:sz w:val="20"/>
          <w:szCs w:val="24"/>
        </w:rPr>
        <w:t>/</w:t>
      </w:r>
      <w:r w:rsidR="001C4993" w:rsidRPr="00B37972">
        <w:rPr>
          <w:rFonts w:ascii="Verdana" w:hAnsi="Verdana"/>
          <w:sz w:val="20"/>
          <w:szCs w:val="24"/>
        </w:rPr>
        <w:t xml:space="preserve">video </w:t>
      </w:r>
      <w:r w:rsidR="00F271D8" w:rsidRPr="00B37972">
        <w:rPr>
          <w:rFonts w:ascii="Verdana" w:hAnsi="Verdana"/>
          <w:sz w:val="20"/>
          <w:szCs w:val="24"/>
        </w:rPr>
        <w:t xml:space="preserve">recordings </w:t>
      </w:r>
      <w:r w:rsidR="001C4993" w:rsidRPr="00B37972">
        <w:rPr>
          <w:rFonts w:ascii="Verdana" w:hAnsi="Verdana"/>
          <w:sz w:val="20"/>
          <w:szCs w:val="24"/>
        </w:rPr>
        <w:t xml:space="preserve">published on the </w:t>
      </w:r>
      <w:r w:rsidR="00F271D8" w:rsidRPr="00B37972">
        <w:rPr>
          <w:rFonts w:ascii="Verdana" w:hAnsi="Verdana"/>
          <w:sz w:val="20"/>
          <w:szCs w:val="24"/>
        </w:rPr>
        <w:t>SCM</w:t>
      </w:r>
      <w:r w:rsidR="001C4993" w:rsidRPr="00B37972">
        <w:rPr>
          <w:rFonts w:ascii="Verdana" w:hAnsi="Verdana"/>
          <w:sz w:val="20"/>
          <w:szCs w:val="24"/>
        </w:rPr>
        <w:t>'s web page</w:t>
      </w:r>
      <w:r w:rsidR="00F271D8" w:rsidRPr="00B37972">
        <w:rPr>
          <w:rFonts w:ascii="Verdana" w:hAnsi="Verdana"/>
          <w:sz w:val="20"/>
          <w:szCs w:val="24"/>
        </w:rPr>
        <w:t>.</w:t>
      </w:r>
      <w:r w:rsidR="001C4993" w:rsidRPr="00B37972">
        <w:rPr>
          <w:rFonts w:ascii="Verdana" w:hAnsi="Verdana"/>
          <w:sz w:val="20"/>
          <w:szCs w:val="24"/>
        </w:rPr>
        <w:t xml:space="preserve"> The selected candidates are </w:t>
      </w:r>
      <w:r w:rsidR="002505CF" w:rsidRPr="00B37972">
        <w:rPr>
          <w:rFonts w:ascii="Verdana" w:hAnsi="Verdana"/>
          <w:sz w:val="20"/>
          <w:szCs w:val="24"/>
        </w:rPr>
        <w:t>then</w:t>
      </w:r>
      <w:r w:rsidR="0097573E" w:rsidRPr="00B37972">
        <w:rPr>
          <w:rFonts w:ascii="Verdana" w:hAnsi="Verdana"/>
          <w:sz w:val="20"/>
          <w:szCs w:val="24"/>
        </w:rPr>
        <w:t xml:space="preserve"> to be</w:t>
      </w:r>
      <w:r w:rsidR="002505CF" w:rsidRPr="00B37972">
        <w:rPr>
          <w:rFonts w:ascii="Verdana" w:hAnsi="Verdana"/>
          <w:sz w:val="20"/>
          <w:szCs w:val="24"/>
        </w:rPr>
        <w:t xml:space="preserve"> </w:t>
      </w:r>
      <w:r w:rsidR="001C4993" w:rsidRPr="00B37972">
        <w:rPr>
          <w:rFonts w:ascii="Verdana" w:hAnsi="Verdana"/>
          <w:sz w:val="20"/>
          <w:szCs w:val="24"/>
        </w:rPr>
        <w:t xml:space="preserve">appointed by the </w:t>
      </w:r>
      <w:r w:rsidR="00F271D8" w:rsidRPr="00B37972">
        <w:rPr>
          <w:rFonts w:ascii="Verdana" w:hAnsi="Verdana"/>
          <w:sz w:val="20"/>
          <w:szCs w:val="24"/>
        </w:rPr>
        <w:t>P</w:t>
      </w:r>
      <w:r w:rsidR="001C4993" w:rsidRPr="00B37972">
        <w:rPr>
          <w:rFonts w:ascii="Verdana" w:hAnsi="Verdana"/>
          <w:sz w:val="20"/>
          <w:szCs w:val="24"/>
        </w:rPr>
        <w:t xml:space="preserve">resident of the SCM. </w:t>
      </w:r>
      <w:r w:rsidR="005E6043" w:rsidRPr="00B37972">
        <w:rPr>
          <w:rFonts w:ascii="Verdana" w:hAnsi="Verdana"/>
          <w:sz w:val="20"/>
          <w:szCs w:val="24"/>
        </w:rPr>
        <w:t xml:space="preserve">The Chief prosecutor of the Section </w:t>
      </w:r>
      <w:r w:rsidR="00257A52" w:rsidRPr="00B37972">
        <w:rPr>
          <w:rFonts w:ascii="Verdana" w:hAnsi="Verdana"/>
          <w:sz w:val="20"/>
          <w:szCs w:val="24"/>
        </w:rPr>
        <w:t xml:space="preserve">and the Deputy Chief prosecutor are </w:t>
      </w:r>
      <w:r w:rsidR="00744032">
        <w:rPr>
          <w:rFonts w:ascii="Verdana" w:hAnsi="Verdana"/>
          <w:sz w:val="20"/>
          <w:szCs w:val="24"/>
        </w:rPr>
        <w:t xml:space="preserve">also </w:t>
      </w:r>
      <w:r w:rsidR="0097573E" w:rsidRPr="00B37972">
        <w:rPr>
          <w:rFonts w:ascii="Verdana" w:hAnsi="Verdana"/>
          <w:sz w:val="20"/>
          <w:szCs w:val="24"/>
        </w:rPr>
        <w:t xml:space="preserve">to be </w:t>
      </w:r>
      <w:r w:rsidR="00257A52" w:rsidRPr="00B37972">
        <w:rPr>
          <w:rFonts w:ascii="Verdana" w:hAnsi="Verdana"/>
          <w:sz w:val="20"/>
          <w:szCs w:val="24"/>
        </w:rPr>
        <w:t xml:space="preserve">appointed by the </w:t>
      </w:r>
      <w:r w:rsidR="00744032">
        <w:rPr>
          <w:rFonts w:ascii="Verdana" w:hAnsi="Verdana"/>
          <w:sz w:val="20"/>
          <w:szCs w:val="24"/>
        </w:rPr>
        <w:t xml:space="preserve">President </w:t>
      </w:r>
      <w:r w:rsidR="00257A52" w:rsidRPr="00B37972">
        <w:rPr>
          <w:rFonts w:ascii="Verdana" w:hAnsi="Verdana"/>
          <w:sz w:val="20"/>
          <w:szCs w:val="24"/>
        </w:rPr>
        <w:t xml:space="preserve">of the SCM. </w:t>
      </w:r>
    </w:p>
    <w:p w:rsidR="00257A52" w:rsidRPr="00B37972" w:rsidRDefault="00257A52" w:rsidP="00B37972">
      <w:pPr>
        <w:pStyle w:val="Listparagraf"/>
        <w:tabs>
          <w:tab w:val="left" w:pos="567"/>
        </w:tabs>
        <w:suppressAutoHyphens w:val="0"/>
        <w:spacing w:after="0" w:line="240" w:lineRule="auto"/>
        <w:ind w:left="0"/>
        <w:jc w:val="both"/>
        <w:rPr>
          <w:rFonts w:ascii="Verdana" w:hAnsi="Verdana"/>
          <w:sz w:val="20"/>
          <w:szCs w:val="24"/>
        </w:rPr>
      </w:pPr>
    </w:p>
    <w:p w:rsidR="00EB04B0" w:rsidRPr="00B37972" w:rsidRDefault="00257A52"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rPr>
        <w:t>The authorities</w:t>
      </w:r>
      <w:r w:rsidR="00A71BC3" w:rsidRPr="00B37972">
        <w:rPr>
          <w:rFonts w:ascii="Verdana" w:hAnsi="Verdana"/>
          <w:sz w:val="20"/>
          <w:szCs w:val="24"/>
        </w:rPr>
        <w:t xml:space="preserve"> also</w:t>
      </w:r>
      <w:r w:rsidRPr="00B37972">
        <w:rPr>
          <w:rFonts w:ascii="Verdana" w:hAnsi="Verdana"/>
          <w:sz w:val="20"/>
          <w:szCs w:val="24"/>
        </w:rPr>
        <w:t xml:space="preserve"> inform GRECO that</w:t>
      </w:r>
      <w:r w:rsidR="00705B03" w:rsidRPr="00B37972">
        <w:rPr>
          <w:rFonts w:ascii="Verdana" w:hAnsi="Verdana"/>
          <w:sz w:val="20"/>
          <w:szCs w:val="24"/>
        </w:rPr>
        <w:t>,</w:t>
      </w:r>
      <w:r w:rsidRPr="00B37972">
        <w:rPr>
          <w:rFonts w:ascii="Verdana" w:hAnsi="Verdana"/>
          <w:sz w:val="20"/>
          <w:szCs w:val="24"/>
        </w:rPr>
        <w:t xml:space="preserve"> o</w:t>
      </w:r>
      <w:r w:rsidR="00F271D8" w:rsidRPr="00B37972">
        <w:rPr>
          <w:rFonts w:ascii="Verdana" w:hAnsi="Verdana"/>
          <w:sz w:val="20"/>
          <w:szCs w:val="24"/>
        </w:rPr>
        <w:t xml:space="preserve">n 23 </w:t>
      </w:r>
      <w:r w:rsidR="001C4993" w:rsidRPr="00B37972">
        <w:rPr>
          <w:rFonts w:ascii="Verdana" w:hAnsi="Verdana"/>
          <w:sz w:val="20"/>
          <w:szCs w:val="24"/>
        </w:rPr>
        <w:t>October</w:t>
      </w:r>
      <w:r w:rsidR="00F271D8" w:rsidRPr="00B37972">
        <w:rPr>
          <w:rFonts w:ascii="Verdana" w:hAnsi="Verdana"/>
          <w:sz w:val="20"/>
          <w:szCs w:val="24"/>
        </w:rPr>
        <w:t xml:space="preserve"> </w:t>
      </w:r>
      <w:r w:rsidR="001C4993" w:rsidRPr="00B37972">
        <w:rPr>
          <w:rFonts w:ascii="Verdana" w:hAnsi="Verdana"/>
          <w:sz w:val="20"/>
          <w:szCs w:val="24"/>
        </w:rPr>
        <w:t>2018, the Section for the Investigation of Offen</w:t>
      </w:r>
      <w:r w:rsidR="00705B03" w:rsidRPr="00B37972">
        <w:rPr>
          <w:rFonts w:ascii="Verdana" w:hAnsi="Verdana"/>
          <w:sz w:val="20"/>
          <w:szCs w:val="24"/>
        </w:rPr>
        <w:t>c</w:t>
      </w:r>
      <w:r w:rsidR="001C4993" w:rsidRPr="00B37972">
        <w:rPr>
          <w:rFonts w:ascii="Verdana" w:hAnsi="Verdana"/>
          <w:sz w:val="20"/>
          <w:szCs w:val="24"/>
        </w:rPr>
        <w:t>es in the Judiciary</w:t>
      </w:r>
      <w:r w:rsidR="00F271D8" w:rsidRPr="00B37972">
        <w:rPr>
          <w:rFonts w:ascii="Verdana" w:hAnsi="Verdana"/>
          <w:sz w:val="20"/>
          <w:szCs w:val="24"/>
        </w:rPr>
        <w:t xml:space="preserve"> </w:t>
      </w:r>
      <w:r w:rsidR="00705B03" w:rsidRPr="00B37972">
        <w:rPr>
          <w:rFonts w:ascii="Verdana" w:hAnsi="Verdana"/>
          <w:sz w:val="20"/>
          <w:szCs w:val="24"/>
        </w:rPr>
        <w:t>w</w:t>
      </w:r>
      <w:r w:rsidR="00F271D8" w:rsidRPr="00B37972">
        <w:rPr>
          <w:rFonts w:ascii="Verdana" w:hAnsi="Verdana"/>
          <w:sz w:val="20"/>
          <w:szCs w:val="24"/>
        </w:rPr>
        <w:t>as effectively set up and started functioning</w:t>
      </w:r>
      <w:r w:rsidR="00315490" w:rsidRPr="00B37972">
        <w:rPr>
          <w:rFonts w:ascii="Verdana" w:hAnsi="Verdana"/>
          <w:sz w:val="20"/>
          <w:szCs w:val="24"/>
        </w:rPr>
        <w:t>.</w:t>
      </w:r>
      <w:r w:rsidR="00112F06" w:rsidRPr="00B37972">
        <w:rPr>
          <w:rFonts w:ascii="Verdana" w:hAnsi="Verdana"/>
          <w:sz w:val="20"/>
          <w:szCs w:val="24"/>
        </w:rPr>
        <w:t xml:space="preserve"> In addition, GEO no. 12/2019</w:t>
      </w:r>
      <w:r w:rsidR="00C26155" w:rsidRPr="00B37972">
        <w:rPr>
          <w:rFonts w:ascii="Verdana" w:hAnsi="Verdana"/>
          <w:sz w:val="20"/>
          <w:szCs w:val="24"/>
        </w:rPr>
        <w:t xml:space="preserve"> of 5 March 2019</w:t>
      </w:r>
      <w:r w:rsidR="00112F06" w:rsidRPr="00B37972">
        <w:rPr>
          <w:rFonts w:ascii="Verdana" w:hAnsi="Verdana"/>
          <w:sz w:val="20"/>
          <w:szCs w:val="24"/>
        </w:rPr>
        <w:t xml:space="preserve"> </w:t>
      </w:r>
      <w:r w:rsidR="00C26155" w:rsidRPr="00B37972">
        <w:rPr>
          <w:rFonts w:ascii="Verdana" w:hAnsi="Verdana"/>
          <w:sz w:val="20"/>
          <w:szCs w:val="24"/>
        </w:rPr>
        <w:t xml:space="preserve">introduced </w:t>
      </w:r>
      <w:r w:rsidR="00112F06" w:rsidRPr="00B37972">
        <w:rPr>
          <w:rFonts w:ascii="Verdana" w:hAnsi="Verdana"/>
          <w:sz w:val="20"/>
          <w:szCs w:val="24"/>
        </w:rPr>
        <w:t>a new Article 88</w:t>
      </w:r>
      <w:r w:rsidR="00112F06" w:rsidRPr="00B37972">
        <w:rPr>
          <w:rFonts w:ascii="Verdana" w:hAnsi="Verdana"/>
          <w:sz w:val="20"/>
          <w:szCs w:val="24"/>
          <w:vertAlign w:val="superscript"/>
        </w:rPr>
        <w:t>10</w:t>
      </w:r>
      <w:r w:rsidR="00112F06" w:rsidRPr="00B37972">
        <w:rPr>
          <w:rFonts w:ascii="Verdana" w:hAnsi="Verdana"/>
          <w:sz w:val="20"/>
          <w:szCs w:val="24"/>
        </w:rPr>
        <w:t xml:space="preserve"> in Law no. 304/2004 on the organisation of the judiciary. This Article envisages secondment of the judiciary police officers to the Section for the Investigation of Offences in the Judiciary, upon request of the Chief Prosecutor of this Section, with the decision of the Minister of the </w:t>
      </w:r>
      <w:r w:rsidR="00112F06" w:rsidRPr="00B37972">
        <w:rPr>
          <w:rFonts w:ascii="Verdana" w:hAnsi="Verdana"/>
          <w:sz w:val="20"/>
          <w:szCs w:val="24"/>
        </w:rPr>
        <w:lastRenderedPageBreak/>
        <w:t>Interior.</w:t>
      </w:r>
      <w:r w:rsidR="00C26155" w:rsidRPr="00B37972">
        <w:rPr>
          <w:rFonts w:ascii="Verdana" w:hAnsi="Verdana"/>
          <w:sz w:val="20"/>
          <w:szCs w:val="24"/>
        </w:rPr>
        <w:t xml:space="preserve"> The duration of such secondments may be up to three years</w:t>
      </w:r>
      <w:r w:rsidR="00DC3B96" w:rsidRPr="00B37972">
        <w:rPr>
          <w:rFonts w:ascii="Verdana" w:hAnsi="Verdana"/>
          <w:sz w:val="20"/>
          <w:szCs w:val="24"/>
        </w:rPr>
        <w:t>,</w:t>
      </w:r>
      <w:r w:rsidR="00C26155" w:rsidRPr="00B37972">
        <w:rPr>
          <w:rFonts w:ascii="Verdana" w:hAnsi="Verdana"/>
          <w:sz w:val="20"/>
          <w:szCs w:val="24"/>
        </w:rPr>
        <w:t xml:space="preserve"> </w:t>
      </w:r>
      <w:r w:rsidR="00DC3B96" w:rsidRPr="00B37972">
        <w:rPr>
          <w:rFonts w:ascii="Verdana" w:hAnsi="Verdana"/>
          <w:sz w:val="20"/>
          <w:szCs w:val="24"/>
        </w:rPr>
        <w:t xml:space="preserve">renewable </w:t>
      </w:r>
      <w:r w:rsidR="00C26155" w:rsidRPr="00B37972">
        <w:rPr>
          <w:rFonts w:ascii="Verdana" w:hAnsi="Verdana"/>
          <w:sz w:val="20"/>
          <w:szCs w:val="24"/>
        </w:rPr>
        <w:t>for the same period.</w:t>
      </w:r>
      <w:r w:rsidR="0029032B">
        <w:rPr>
          <w:rFonts w:ascii="Verdana" w:hAnsi="Verdana"/>
          <w:sz w:val="20"/>
          <w:szCs w:val="24"/>
        </w:rPr>
        <w:t xml:space="preserve"> In addition, GEO no. 7/2019 </w:t>
      </w:r>
      <w:r w:rsidR="00AB1709">
        <w:rPr>
          <w:rFonts w:ascii="Verdana" w:hAnsi="Verdana"/>
          <w:sz w:val="20"/>
          <w:szCs w:val="24"/>
        </w:rPr>
        <w:t>of 20 February 2019 amended Article 88</w:t>
      </w:r>
      <w:r w:rsidR="00AB1709" w:rsidRPr="00AB1709">
        <w:rPr>
          <w:rFonts w:ascii="Verdana" w:hAnsi="Verdana"/>
          <w:sz w:val="20"/>
          <w:szCs w:val="24"/>
          <w:vertAlign w:val="superscript"/>
        </w:rPr>
        <w:t>(1)</w:t>
      </w:r>
      <w:r w:rsidR="00AB1709">
        <w:rPr>
          <w:rFonts w:ascii="Verdana" w:hAnsi="Verdana"/>
          <w:sz w:val="20"/>
          <w:szCs w:val="24"/>
        </w:rPr>
        <w:t xml:space="preserve"> of </w:t>
      </w:r>
      <w:r w:rsidR="00AB1709" w:rsidRPr="00AB1709">
        <w:rPr>
          <w:rFonts w:ascii="Verdana" w:hAnsi="Verdana"/>
          <w:sz w:val="20"/>
          <w:szCs w:val="24"/>
        </w:rPr>
        <w:t xml:space="preserve">Law no. 304/2004 on the </w:t>
      </w:r>
      <w:r w:rsidR="00AB1709">
        <w:rPr>
          <w:rFonts w:ascii="Verdana" w:hAnsi="Verdana"/>
          <w:sz w:val="20"/>
          <w:szCs w:val="24"/>
        </w:rPr>
        <w:t>O</w:t>
      </w:r>
      <w:r w:rsidR="00AB1709" w:rsidRPr="00AB1709">
        <w:rPr>
          <w:rFonts w:ascii="Verdana" w:hAnsi="Verdana"/>
          <w:sz w:val="20"/>
          <w:szCs w:val="24"/>
        </w:rPr>
        <w:t>rgani</w:t>
      </w:r>
      <w:r w:rsidR="00AB1709">
        <w:rPr>
          <w:rFonts w:ascii="Verdana" w:hAnsi="Verdana"/>
          <w:sz w:val="20"/>
          <w:szCs w:val="24"/>
        </w:rPr>
        <w:t>s</w:t>
      </w:r>
      <w:r w:rsidR="00AB1709" w:rsidRPr="00AB1709">
        <w:rPr>
          <w:rFonts w:ascii="Verdana" w:hAnsi="Verdana"/>
          <w:sz w:val="20"/>
          <w:szCs w:val="24"/>
        </w:rPr>
        <w:t>ation of the Judiciary</w:t>
      </w:r>
      <w:r w:rsidR="00AB1709">
        <w:rPr>
          <w:rFonts w:ascii="Verdana" w:hAnsi="Verdana"/>
          <w:sz w:val="20"/>
          <w:szCs w:val="24"/>
        </w:rPr>
        <w:t xml:space="preserve">, by introducing the following new paragraph: </w:t>
      </w:r>
      <w:r w:rsidR="00AB1709" w:rsidRPr="00AB1709">
        <w:rPr>
          <w:rFonts w:ascii="Verdana" w:hAnsi="Verdana"/>
          <w:sz w:val="20"/>
          <w:szCs w:val="24"/>
        </w:rPr>
        <w:t>“</w:t>
      </w:r>
      <w:r w:rsidR="00AB1709">
        <w:rPr>
          <w:rFonts w:ascii="Verdana" w:hAnsi="Verdana"/>
          <w:sz w:val="20"/>
          <w:szCs w:val="24"/>
        </w:rPr>
        <w:t xml:space="preserve">(6) </w:t>
      </w:r>
      <w:r w:rsidR="00AB1709" w:rsidRPr="00AB1709">
        <w:rPr>
          <w:rFonts w:ascii="Verdana" w:hAnsi="Verdana"/>
          <w:sz w:val="20"/>
          <w:szCs w:val="24"/>
        </w:rPr>
        <w:t>Whenever the Criminal Procedure Code or other special laws refer to the "hierarchically superior prosecutor" in the case of offenses under the jurisdiction of the Section for the Investigation of Criminal Offenses</w:t>
      </w:r>
      <w:r w:rsidR="00AB1709">
        <w:rPr>
          <w:rFonts w:ascii="Verdana" w:hAnsi="Verdana"/>
          <w:sz w:val="20"/>
          <w:szCs w:val="24"/>
        </w:rPr>
        <w:t xml:space="preserve"> in the Judiciary</w:t>
      </w:r>
      <w:r w:rsidR="00AB1709" w:rsidRPr="00AB1709">
        <w:rPr>
          <w:rFonts w:ascii="Verdana" w:hAnsi="Verdana"/>
          <w:sz w:val="20"/>
          <w:szCs w:val="24"/>
        </w:rPr>
        <w:t xml:space="preserve">, it refers to the Chief Prosecutor of the Section, including in the case of solutions delivered </w:t>
      </w:r>
      <w:r w:rsidR="00AB1709">
        <w:rPr>
          <w:rFonts w:ascii="Verdana" w:hAnsi="Verdana"/>
          <w:sz w:val="20"/>
          <w:szCs w:val="24"/>
        </w:rPr>
        <w:t>prior to</w:t>
      </w:r>
      <w:r w:rsidR="00AB1709" w:rsidRPr="00AB1709">
        <w:rPr>
          <w:rFonts w:ascii="Verdana" w:hAnsi="Verdana"/>
          <w:sz w:val="20"/>
          <w:szCs w:val="24"/>
        </w:rPr>
        <w:t xml:space="preserve"> putting </w:t>
      </w:r>
      <w:r w:rsidR="00AB1709">
        <w:rPr>
          <w:rFonts w:ascii="Verdana" w:hAnsi="Verdana"/>
          <w:sz w:val="20"/>
          <w:szCs w:val="24"/>
        </w:rPr>
        <w:t xml:space="preserve">of </w:t>
      </w:r>
      <w:r w:rsidR="00AB1709" w:rsidRPr="00AB1709">
        <w:rPr>
          <w:rFonts w:ascii="Verdana" w:hAnsi="Verdana"/>
          <w:sz w:val="20"/>
          <w:szCs w:val="24"/>
        </w:rPr>
        <w:t>the said Section</w:t>
      </w:r>
      <w:r w:rsidR="00AB1709">
        <w:rPr>
          <w:rFonts w:ascii="Verdana" w:hAnsi="Verdana"/>
          <w:sz w:val="20"/>
          <w:szCs w:val="24"/>
        </w:rPr>
        <w:t xml:space="preserve"> </w:t>
      </w:r>
      <w:r w:rsidR="00AB1709" w:rsidRPr="00AB1709">
        <w:rPr>
          <w:rFonts w:ascii="Verdana" w:hAnsi="Verdana"/>
          <w:sz w:val="20"/>
          <w:szCs w:val="24"/>
        </w:rPr>
        <w:t xml:space="preserve">into </w:t>
      </w:r>
      <w:r w:rsidR="00AB1709">
        <w:rPr>
          <w:rFonts w:ascii="Verdana" w:hAnsi="Verdana"/>
          <w:sz w:val="20"/>
          <w:szCs w:val="24"/>
        </w:rPr>
        <w:t>operation</w:t>
      </w:r>
      <w:r w:rsidR="00AB1709" w:rsidRPr="00AB1709">
        <w:rPr>
          <w:rFonts w:ascii="Verdana" w:hAnsi="Verdana"/>
          <w:sz w:val="20"/>
          <w:szCs w:val="24"/>
        </w:rPr>
        <w:t>”.</w:t>
      </w:r>
    </w:p>
    <w:p w:rsidR="00B06C4D" w:rsidRPr="00B37972" w:rsidRDefault="00B06C4D" w:rsidP="00B37972">
      <w:pPr>
        <w:pStyle w:val="Listparagraf"/>
        <w:tabs>
          <w:tab w:val="left" w:pos="567"/>
        </w:tabs>
        <w:suppressAutoHyphens w:val="0"/>
        <w:spacing w:after="0" w:line="240" w:lineRule="auto"/>
        <w:ind w:left="0"/>
        <w:jc w:val="both"/>
        <w:rPr>
          <w:rFonts w:ascii="Verdana" w:hAnsi="Verdana"/>
          <w:sz w:val="20"/>
          <w:szCs w:val="24"/>
        </w:rPr>
      </w:pPr>
    </w:p>
    <w:p w:rsidR="00B06C4D" w:rsidRPr="00B37972" w:rsidRDefault="00B06C4D"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u w:val="single"/>
        </w:rPr>
        <w:t>GRECO</w:t>
      </w:r>
      <w:r w:rsidRPr="00B37972">
        <w:rPr>
          <w:rFonts w:ascii="Verdana" w:hAnsi="Verdana"/>
          <w:sz w:val="20"/>
          <w:szCs w:val="24"/>
        </w:rPr>
        <w:t xml:space="preserve"> takes note of the information provided. The steps taken by the Romanian authorities are in full contradiction to GRECO’s recommendation</w:t>
      </w:r>
      <w:r w:rsidR="00A81A81" w:rsidRPr="00B37972">
        <w:rPr>
          <w:rFonts w:ascii="Verdana" w:hAnsi="Verdana"/>
          <w:sz w:val="20"/>
          <w:szCs w:val="24"/>
        </w:rPr>
        <w:t xml:space="preserve">, which is a deeply worrying development. </w:t>
      </w:r>
      <w:r w:rsidR="00095E70" w:rsidRPr="00B37972">
        <w:rPr>
          <w:rFonts w:ascii="Verdana" w:hAnsi="Verdana"/>
          <w:sz w:val="20"/>
          <w:szCs w:val="24"/>
        </w:rPr>
        <w:t xml:space="preserve">The concerns expressed by </w:t>
      </w:r>
      <w:r w:rsidR="000D5F3C" w:rsidRPr="00B37972">
        <w:rPr>
          <w:rFonts w:ascii="Verdana" w:hAnsi="Verdana"/>
          <w:sz w:val="20"/>
          <w:szCs w:val="24"/>
        </w:rPr>
        <w:t>GRECO in the Ad h</w:t>
      </w:r>
      <w:r w:rsidR="00095E70" w:rsidRPr="00B37972">
        <w:rPr>
          <w:rFonts w:ascii="Verdana" w:hAnsi="Verdana"/>
          <w:sz w:val="20"/>
          <w:szCs w:val="24"/>
        </w:rPr>
        <w:t>oc Report over the negative consequences of setting up such a specialised prosecutorial structure</w:t>
      </w:r>
      <w:r w:rsidR="00AC3BC5">
        <w:rPr>
          <w:rFonts w:ascii="Verdana" w:hAnsi="Verdana"/>
          <w:sz w:val="20"/>
          <w:szCs w:val="24"/>
        </w:rPr>
        <w:t xml:space="preserve"> and the genuine reasons behind this decision</w:t>
      </w:r>
      <w:r w:rsidR="002666EB" w:rsidRPr="00B37972">
        <w:rPr>
          <w:rStyle w:val="Referinnotdesubsol"/>
          <w:rFonts w:ascii="Verdana" w:hAnsi="Verdana"/>
          <w:sz w:val="20"/>
          <w:szCs w:val="24"/>
        </w:rPr>
        <w:footnoteReference w:id="13"/>
      </w:r>
      <w:r w:rsidR="00095E70" w:rsidRPr="00B37972">
        <w:rPr>
          <w:rFonts w:ascii="Verdana" w:hAnsi="Verdana"/>
          <w:sz w:val="20"/>
          <w:szCs w:val="24"/>
        </w:rPr>
        <w:t xml:space="preserve"> remain even more relevant against the background of the </w:t>
      </w:r>
      <w:r w:rsidR="005D2244" w:rsidRPr="00B37972">
        <w:rPr>
          <w:rFonts w:ascii="Verdana" w:hAnsi="Verdana"/>
          <w:sz w:val="20"/>
          <w:szCs w:val="24"/>
        </w:rPr>
        <w:t xml:space="preserve">continued pressure </w:t>
      </w:r>
      <w:r w:rsidR="0097573E" w:rsidRPr="00B37972">
        <w:rPr>
          <w:rFonts w:ascii="Verdana" w:hAnsi="Verdana"/>
          <w:sz w:val="20"/>
          <w:szCs w:val="24"/>
        </w:rPr>
        <w:t xml:space="preserve">in respect of </w:t>
      </w:r>
      <w:r w:rsidR="005D2244" w:rsidRPr="00B37972">
        <w:rPr>
          <w:rFonts w:ascii="Verdana" w:hAnsi="Verdana"/>
          <w:sz w:val="20"/>
          <w:szCs w:val="24"/>
        </w:rPr>
        <w:t xml:space="preserve">the National Anti-Corruption Directorate (DNA), the </w:t>
      </w:r>
      <w:r w:rsidR="00095E70" w:rsidRPr="00B37972">
        <w:rPr>
          <w:rFonts w:ascii="Verdana" w:hAnsi="Verdana"/>
          <w:sz w:val="20"/>
          <w:szCs w:val="24"/>
        </w:rPr>
        <w:t xml:space="preserve">dismissal of the Chief Prosecutor of the </w:t>
      </w:r>
      <w:r w:rsidR="005D2244" w:rsidRPr="00B37972">
        <w:rPr>
          <w:rFonts w:ascii="Verdana" w:hAnsi="Verdana"/>
          <w:sz w:val="20"/>
          <w:szCs w:val="24"/>
        </w:rPr>
        <w:t>DNA,</w:t>
      </w:r>
      <w:r w:rsidR="00990FF8" w:rsidRPr="00B37972">
        <w:rPr>
          <w:rStyle w:val="Referinnotdesubsol"/>
          <w:rFonts w:ascii="Verdana" w:hAnsi="Verdana"/>
          <w:sz w:val="20"/>
          <w:szCs w:val="24"/>
        </w:rPr>
        <w:footnoteReference w:id="14"/>
      </w:r>
      <w:r w:rsidR="005D2244" w:rsidRPr="00B37972">
        <w:rPr>
          <w:rFonts w:ascii="Verdana" w:hAnsi="Verdana"/>
          <w:sz w:val="20"/>
          <w:szCs w:val="24"/>
        </w:rPr>
        <w:t xml:space="preserve"> </w:t>
      </w:r>
      <w:r w:rsidR="00095E70" w:rsidRPr="00B37972">
        <w:rPr>
          <w:rFonts w:ascii="Verdana" w:hAnsi="Verdana"/>
          <w:sz w:val="20"/>
          <w:szCs w:val="24"/>
        </w:rPr>
        <w:t>and the increasing influence of the on-going</w:t>
      </w:r>
      <w:r w:rsidR="006C303A" w:rsidRPr="00B37972">
        <w:rPr>
          <w:rFonts w:ascii="Verdana" w:hAnsi="Verdana"/>
          <w:sz w:val="20"/>
          <w:szCs w:val="24"/>
        </w:rPr>
        <w:t xml:space="preserve"> controversies</w:t>
      </w:r>
      <w:r w:rsidR="00095E70" w:rsidRPr="00B37972">
        <w:rPr>
          <w:rFonts w:ascii="Verdana" w:hAnsi="Verdana"/>
          <w:sz w:val="20"/>
          <w:szCs w:val="24"/>
        </w:rPr>
        <w:t xml:space="preserve"> </w:t>
      </w:r>
      <w:r w:rsidR="002666EB" w:rsidRPr="00B37972">
        <w:rPr>
          <w:rFonts w:ascii="Verdana" w:hAnsi="Verdana"/>
          <w:sz w:val="20"/>
          <w:szCs w:val="24"/>
        </w:rPr>
        <w:t xml:space="preserve">in Romania </w:t>
      </w:r>
      <w:r w:rsidR="00095E70" w:rsidRPr="00B37972">
        <w:rPr>
          <w:rFonts w:ascii="Verdana" w:hAnsi="Verdana"/>
          <w:sz w:val="20"/>
          <w:szCs w:val="24"/>
        </w:rPr>
        <w:t xml:space="preserve">on </w:t>
      </w:r>
      <w:r w:rsidR="006C671E" w:rsidRPr="00B37972">
        <w:rPr>
          <w:rFonts w:ascii="Verdana" w:hAnsi="Verdana"/>
          <w:sz w:val="20"/>
          <w:szCs w:val="24"/>
        </w:rPr>
        <w:t xml:space="preserve">the judicial and prosecutorial </w:t>
      </w:r>
      <w:r w:rsidR="00095E70" w:rsidRPr="00B37972">
        <w:rPr>
          <w:rFonts w:ascii="Verdana" w:hAnsi="Verdana"/>
          <w:sz w:val="20"/>
          <w:szCs w:val="24"/>
        </w:rPr>
        <w:t>appointments</w:t>
      </w:r>
      <w:r w:rsidRPr="00B37972">
        <w:rPr>
          <w:rFonts w:ascii="Verdana" w:hAnsi="Verdana"/>
          <w:sz w:val="20"/>
          <w:szCs w:val="24"/>
        </w:rPr>
        <w:t>.</w:t>
      </w:r>
      <w:r w:rsidR="005D2244" w:rsidRPr="00B37972">
        <w:rPr>
          <w:rStyle w:val="Referinnotdesubsol"/>
          <w:rFonts w:ascii="Verdana" w:hAnsi="Verdana"/>
          <w:sz w:val="20"/>
          <w:szCs w:val="24"/>
        </w:rPr>
        <w:footnoteReference w:id="15"/>
      </w:r>
      <w:r w:rsidR="00C26155" w:rsidRPr="00B37972">
        <w:rPr>
          <w:rFonts w:ascii="Verdana" w:hAnsi="Verdana"/>
          <w:sz w:val="20"/>
          <w:szCs w:val="24"/>
        </w:rPr>
        <w:t xml:space="preserve"> </w:t>
      </w:r>
      <w:r w:rsidR="00F47DE5">
        <w:rPr>
          <w:rFonts w:ascii="Verdana" w:hAnsi="Verdana"/>
          <w:sz w:val="20"/>
          <w:szCs w:val="24"/>
        </w:rPr>
        <w:t xml:space="preserve">In this respect, </w:t>
      </w:r>
      <w:r w:rsidR="00F47DE5" w:rsidRPr="00B37972">
        <w:rPr>
          <w:rFonts w:ascii="Verdana" w:hAnsi="Verdana"/>
          <w:sz w:val="20"/>
          <w:szCs w:val="24"/>
        </w:rPr>
        <w:t xml:space="preserve">GRECO </w:t>
      </w:r>
      <w:r w:rsidR="003C0189">
        <w:rPr>
          <w:rFonts w:ascii="Verdana" w:hAnsi="Verdana"/>
          <w:sz w:val="20"/>
          <w:szCs w:val="24"/>
        </w:rPr>
        <w:t xml:space="preserve">notes that </w:t>
      </w:r>
      <w:r w:rsidR="004F4BD5">
        <w:rPr>
          <w:rFonts w:ascii="Verdana" w:hAnsi="Verdana"/>
          <w:sz w:val="20"/>
          <w:szCs w:val="24"/>
        </w:rPr>
        <w:t>the recent amendment by GEO no. 7/2019 of Law no. 304/2004 as regards the hierarchical position of the Chief Prosecutor of the Section for the Investigation of Criminal Offences in the Judiciary (see paragraph 28) allows revocation of appeals lodged by other prosecutorial services</w:t>
      </w:r>
      <w:r w:rsidR="00181BB0">
        <w:rPr>
          <w:rFonts w:ascii="Verdana" w:hAnsi="Verdana"/>
          <w:sz w:val="20"/>
          <w:szCs w:val="24"/>
        </w:rPr>
        <w:t>, including by the Prosecutor General,</w:t>
      </w:r>
      <w:r w:rsidR="004F4BD5">
        <w:rPr>
          <w:rFonts w:ascii="Verdana" w:hAnsi="Verdana"/>
          <w:sz w:val="20"/>
          <w:szCs w:val="24"/>
        </w:rPr>
        <w:t xml:space="preserve"> to higher instance courts </w:t>
      </w:r>
      <w:r w:rsidR="00592E35">
        <w:rPr>
          <w:rFonts w:ascii="Verdana" w:hAnsi="Verdana"/>
          <w:sz w:val="20"/>
          <w:szCs w:val="24"/>
        </w:rPr>
        <w:t xml:space="preserve">for instance in corruption cases, and </w:t>
      </w:r>
      <w:r w:rsidR="004F4BD5">
        <w:rPr>
          <w:rFonts w:ascii="Verdana" w:hAnsi="Verdana"/>
          <w:sz w:val="20"/>
          <w:szCs w:val="24"/>
        </w:rPr>
        <w:t xml:space="preserve">places this Section outside the hierarchical </w:t>
      </w:r>
      <w:r w:rsidR="00181BB0">
        <w:rPr>
          <w:rFonts w:ascii="Verdana" w:hAnsi="Verdana"/>
          <w:sz w:val="20"/>
          <w:szCs w:val="24"/>
        </w:rPr>
        <w:t xml:space="preserve">structure of </w:t>
      </w:r>
      <w:r w:rsidR="004F4BD5">
        <w:rPr>
          <w:rFonts w:ascii="Verdana" w:hAnsi="Verdana"/>
          <w:sz w:val="20"/>
          <w:szCs w:val="24"/>
        </w:rPr>
        <w:t xml:space="preserve">the </w:t>
      </w:r>
      <w:r w:rsidR="00181BB0">
        <w:rPr>
          <w:rFonts w:ascii="Verdana" w:hAnsi="Verdana"/>
          <w:sz w:val="20"/>
          <w:szCs w:val="24"/>
        </w:rPr>
        <w:t>Romanian prosecution</w:t>
      </w:r>
      <w:r w:rsidR="004F4BD5">
        <w:rPr>
          <w:rFonts w:ascii="Verdana" w:hAnsi="Verdana"/>
          <w:sz w:val="20"/>
          <w:szCs w:val="24"/>
        </w:rPr>
        <w:t>.</w:t>
      </w:r>
      <w:r w:rsidR="00B81F34">
        <w:rPr>
          <w:rStyle w:val="Referinnotdesubsol"/>
          <w:rFonts w:ascii="Verdana" w:hAnsi="Verdana"/>
          <w:sz w:val="20"/>
          <w:szCs w:val="24"/>
        </w:rPr>
        <w:footnoteReference w:id="16"/>
      </w:r>
      <w:r w:rsidR="004F4BD5">
        <w:rPr>
          <w:rFonts w:ascii="Verdana" w:hAnsi="Verdana"/>
          <w:sz w:val="20"/>
          <w:szCs w:val="24"/>
        </w:rPr>
        <w:t xml:space="preserve"> </w:t>
      </w:r>
      <w:r w:rsidR="00592E35">
        <w:rPr>
          <w:rFonts w:ascii="Verdana" w:hAnsi="Verdana"/>
          <w:sz w:val="20"/>
          <w:szCs w:val="24"/>
        </w:rPr>
        <w:t xml:space="preserve">GRECO also </w:t>
      </w:r>
      <w:r w:rsidR="00F47DE5" w:rsidRPr="00B37972">
        <w:rPr>
          <w:rFonts w:ascii="Verdana" w:hAnsi="Verdana"/>
          <w:sz w:val="20"/>
          <w:szCs w:val="24"/>
        </w:rPr>
        <w:t xml:space="preserve">refers to the observations of the Venice Commission in its latest Opinion on the amendments to justice laws, which states that “existing fears that the new structure would serve as an (additional) instrument to intimidate and put pressure on judges and prosecutors - especially if coupled with other new measures envisaged in their respect, such as the new provisions on magistrates’ material liability - may be seen as legitimate and should not be ignored.” </w:t>
      </w:r>
      <w:r w:rsidR="00F47DE5">
        <w:rPr>
          <w:rFonts w:ascii="Verdana" w:hAnsi="Verdana"/>
          <w:sz w:val="20"/>
          <w:szCs w:val="24"/>
        </w:rPr>
        <w:t xml:space="preserve">Further, </w:t>
      </w:r>
      <w:r w:rsidR="00AC3BC5">
        <w:rPr>
          <w:rFonts w:ascii="Verdana" w:hAnsi="Verdana"/>
          <w:sz w:val="20"/>
          <w:szCs w:val="24"/>
        </w:rPr>
        <w:t xml:space="preserve">GRECO </w:t>
      </w:r>
      <w:r w:rsidR="00277508">
        <w:rPr>
          <w:rFonts w:ascii="Verdana" w:hAnsi="Verdana"/>
          <w:sz w:val="20"/>
          <w:szCs w:val="24"/>
        </w:rPr>
        <w:t xml:space="preserve">notes that </w:t>
      </w:r>
      <w:r w:rsidR="00277508" w:rsidRPr="00277508">
        <w:rPr>
          <w:rFonts w:ascii="Verdana" w:hAnsi="Verdana"/>
          <w:sz w:val="20"/>
          <w:szCs w:val="24"/>
        </w:rPr>
        <w:t xml:space="preserve">the number of prosecutors </w:t>
      </w:r>
      <w:r w:rsidR="00277508">
        <w:rPr>
          <w:rFonts w:ascii="Verdana" w:hAnsi="Verdana"/>
          <w:sz w:val="20"/>
          <w:szCs w:val="24"/>
        </w:rPr>
        <w:t xml:space="preserve">currently employed in </w:t>
      </w:r>
      <w:r w:rsidR="00277508" w:rsidRPr="00277508">
        <w:rPr>
          <w:rFonts w:ascii="Verdana" w:hAnsi="Verdana"/>
          <w:sz w:val="20"/>
          <w:szCs w:val="24"/>
        </w:rPr>
        <w:t xml:space="preserve">this section, </w:t>
      </w:r>
      <w:r w:rsidR="00277508">
        <w:rPr>
          <w:rFonts w:ascii="Verdana" w:hAnsi="Verdana"/>
          <w:sz w:val="20"/>
          <w:szCs w:val="24"/>
        </w:rPr>
        <w:t xml:space="preserve">as well as the number of judicial police officers seconded therein, is manifestly inadequate to the amount of cases the Section has been tasked to investigate. GRECO </w:t>
      </w:r>
      <w:r w:rsidR="00592E35">
        <w:rPr>
          <w:rFonts w:ascii="Verdana" w:hAnsi="Verdana"/>
          <w:sz w:val="20"/>
          <w:szCs w:val="24"/>
        </w:rPr>
        <w:t xml:space="preserve">alerts the authorities to the </w:t>
      </w:r>
      <w:r w:rsidR="00277508">
        <w:rPr>
          <w:rFonts w:ascii="Verdana" w:hAnsi="Verdana"/>
          <w:sz w:val="20"/>
          <w:szCs w:val="24"/>
        </w:rPr>
        <w:t xml:space="preserve">fact that </w:t>
      </w:r>
      <w:r w:rsidR="00592E35">
        <w:rPr>
          <w:rFonts w:ascii="Verdana" w:hAnsi="Verdana"/>
          <w:sz w:val="20"/>
          <w:szCs w:val="24"/>
        </w:rPr>
        <w:t xml:space="preserve">the </w:t>
      </w:r>
      <w:r w:rsidR="00C26155" w:rsidRPr="00B37972">
        <w:rPr>
          <w:rFonts w:ascii="Verdana" w:hAnsi="Verdana"/>
          <w:sz w:val="20"/>
          <w:szCs w:val="24"/>
        </w:rPr>
        <w:t>secondment of police officers</w:t>
      </w:r>
      <w:r w:rsidR="00DC3B96" w:rsidRPr="00B37972">
        <w:rPr>
          <w:rFonts w:ascii="Verdana" w:hAnsi="Verdana"/>
          <w:sz w:val="20"/>
          <w:szCs w:val="24"/>
        </w:rPr>
        <w:t xml:space="preserve"> (</w:t>
      </w:r>
      <w:r w:rsidR="00592E35">
        <w:rPr>
          <w:rFonts w:ascii="Verdana" w:hAnsi="Verdana"/>
          <w:sz w:val="20"/>
          <w:szCs w:val="24"/>
        </w:rPr>
        <w:t xml:space="preserve">by the </w:t>
      </w:r>
      <w:r w:rsidR="00DC3B96" w:rsidRPr="00B37972">
        <w:rPr>
          <w:rFonts w:ascii="Verdana" w:hAnsi="Verdana"/>
          <w:sz w:val="20"/>
          <w:szCs w:val="24"/>
        </w:rPr>
        <w:t>Ministry of the Interior)</w:t>
      </w:r>
      <w:r w:rsidR="00C26155" w:rsidRPr="00B37972">
        <w:rPr>
          <w:rFonts w:ascii="Verdana" w:hAnsi="Verdana"/>
          <w:sz w:val="20"/>
          <w:szCs w:val="24"/>
        </w:rPr>
        <w:t xml:space="preserve"> to the Section for the Investigation of Offences in the Judiciary</w:t>
      </w:r>
      <w:r w:rsidR="00B4457B">
        <w:rPr>
          <w:rFonts w:ascii="Verdana" w:hAnsi="Verdana"/>
          <w:sz w:val="20"/>
          <w:szCs w:val="24"/>
        </w:rPr>
        <w:t xml:space="preserve"> </w:t>
      </w:r>
      <w:r w:rsidR="005C6BFA">
        <w:rPr>
          <w:rFonts w:ascii="Verdana" w:hAnsi="Verdana"/>
          <w:sz w:val="20"/>
          <w:szCs w:val="24"/>
        </w:rPr>
        <w:t xml:space="preserve">inevitably </w:t>
      </w:r>
      <w:r w:rsidR="00592E35">
        <w:rPr>
          <w:rFonts w:ascii="Verdana" w:hAnsi="Verdana"/>
          <w:sz w:val="20"/>
          <w:szCs w:val="24"/>
        </w:rPr>
        <w:t xml:space="preserve">leads in practice to situations where </w:t>
      </w:r>
      <w:r w:rsidR="005C6BFA">
        <w:rPr>
          <w:rFonts w:ascii="Verdana" w:hAnsi="Verdana"/>
          <w:sz w:val="20"/>
          <w:szCs w:val="24"/>
        </w:rPr>
        <w:t xml:space="preserve">judicial </w:t>
      </w:r>
      <w:r w:rsidR="00592E35">
        <w:rPr>
          <w:rFonts w:ascii="Verdana" w:hAnsi="Verdana"/>
          <w:sz w:val="20"/>
          <w:szCs w:val="24"/>
        </w:rPr>
        <w:t>police officers would be investigating cases against prosecutors and judges</w:t>
      </w:r>
      <w:r w:rsidR="005C6BFA">
        <w:rPr>
          <w:rFonts w:ascii="Verdana" w:hAnsi="Verdana"/>
          <w:sz w:val="20"/>
          <w:szCs w:val="24"/>
        </w:rPr>
        <w:t>, as the activities of this Section are targeted at these two professional groups, instead of specific types of crime</w:t>
      </w:r>
      <w:r w:rsidR="00592E35">
        <w:rPr>
          <w:rFonts w:ascii="Verdana" w:hAnsi="Verdana"/>
          <w:sz w:val="20"/>
          <w:szCs w:val="24"/>
        </w:rPr>
        <w:t>.</w:t>
      </w:r>
      <w:r w:rsidR="00DC3B96" w:rsidRPr="00B37972">
        <w:rPr>
          <w:rFonts w:ascii="Verdana" w:hAnsi="Verdana"/>
          <w:sz w:val="20"/>
          <w:szCs w:val="24"/>
        </w:rPr>
        <w:t xml:space="preserve"> </w:t>
      </w:r>
      <w:r w:rsidR="00592E35">
        <w:rPr>
          <w:rFonts w:ascii="Verdana" w:hAnsi="Verdana"/>
          <w:sz w:val="20"/>
          <w:szCs w:val="24"/>
        </w:rPr>
        <w:t xml:space="preserve">Such a development </w:t>
      </w:r>
      <w:r w:rsidR="00F47DE5">
        <w:rPr>
          <w:rFonts w:ascii="Verdana" w:hAnsi="Verdana"/>
          <w:sz w:val="20"/>
          <w:szCs w:val="24"/>
        </w:rPr>
        <w:t xml:space="preserve">may </w:t>
      </w:r>
      <w:r w:rsidR="00C26155" w:rsidRPr="00B37972">
        <w:rPr>
          <w:rFonts w:ascii="Verdana" w:hAnsi="Verdana"/>
          <w:sz w:val="20"/>
          <w:szCs w:val="24"/>
        </w:rPr>
        <w:t xml:space="preserve">represent an additional </w:t>
      </w:r>
      <w:r w:rsidR="00DC3B96" w:rsidRPr="00B37972">
        <w:rPr>
          <w:rFonts w:ascii="Verdana" w:hAnsi="Verdana"/>
          <w:sz w:val="20"/>
          <w:szCs w:val="24"/>
        </w:rPr>
        <w:t xml:space="preserve">risk </w:t>
      </w:r>
      <w:r w:rsidR="00C26155" w:rsidRPr="00B37972">
        <w:rPr>
          <w:rFonts w:ascii="Verdana" w:hAnsi="Verdana"/>
          <w:sz w:val="20"/>
          <w:szCs w:val="24"/>
        </w:rPr>
        <w:t xml:space="preserve">for the </w:t>
      </w:r>
      <w:r w:rsidR="00DC3B96" w:rsidRPr="00B37972">
        <w:rPr>
          <w:rFonts w:ascii="Verdana" w:hAnsi="Verdana"/>
          <w:sz w:val="20"/>
          <w:szCs w:val="24"/>
        </w:rPr>
        <w:t xml:space="preserve">functional </w:t>
      </w:r>
      <w:r w:rsidR="00C26155" w:rsidRPr="00B37972">
        <w:rPr>
          <w:rFonts w:ascii="Verdana" w:hAnsi="Verdana"/>
          <w:sz w:val="20"/>
          <w:szCs w:val="24"/>
        </w:rPr>
        <w:t>independence</w:t>
      </w:r>
      <w:r w:rsidR="00DC3B96" w:rsidRPr="00B37972">
        <w:rPr>
          <w:rFonts w:ascii="Verdana" w:hAnsi="Verdana"/>
          <w:sz w:val="20"/>
          <w:szCs w:val="24"/>
        </w:rPr>
        <w:t xml:space="preserve"> of the </w:t>
      </w:r>
      <w:r w:rsidR="00A71BC3" w:rsidRPr="00B37972">
        <w:rPr>
          <w:rFonts w:ascii="Verdana" w:hAnsi="Verdana"/>
          <w:sz w:val="20"/>
          <w:szCs w:val="24"/>
        </w:rPr>
        <w:t>judiciary</w:t>
      </w:r>
      <w:r w:rsidR="00DC3B96" w:rsidRPr="00B37972">
        <w:rPr>
          <w:rFonts w:ascii="Verdana" w:hAnsi="Verdana"/>
          <w:sz w:val="20"/>
          <w:szCs w:val="24"/>
        </w:rPr>
        <w:t>.</w:t>
      </w:r>
      <w:r w:rsidR="00C26155" w:rsidRPr="00B37972">
        <w:rPr>
          <w:rFonts w:ascii="Verdana" w:hAnsi="Verdana"/>
          <w:sz w:val="20"/>
          <w:szCs w:val="24"/>
        </w:rPr>
        <w:t xml:space="preserve"> </w:t>
      </w:r>
      <w:r w:rsidR="007F04A7" w:rsidRPr="00B37972">
        <w:rPr>
          <w:rFonts w:ascii="Verdana" w:hAnsi="Verdana"/>
          <w:sz w:val="20"/>
          <w:szCs w:val="24"/>
        </w:rPr>
        <w:t xml:space="preserve">GRECO also notes that the </w:t>
      </w:r>
      <w:r w:rsidR="00872995" w:rsidRPr="00B37972">
        <w:rPr>
          <w:rFonts w:ascii="Verdana" w:hAnsi="Verdana"/>
          <w:sz w:val="20"/>
          <w:szCs w:val="24"/>
        </w:rPr>
        <w:t>setting</w:t>
      </w:r>
      <w:r w:rsidR="00705B03" w:rsidRPr="00B37972">
        <w:rPr>
          <w:rFonts w:ascii="Verdana" w:hAnsi="Verdana"/>
          <w:sz w:val="20"/>
          <w:szCs w:val="24"/>
        </w:rPr>
        <w:t>-</w:t>
      </w:r>
      <w:r w:rsidR="00872995" w:rsidRPr="00B37972">
        <w:rPr>
          <w:rFonts w:ascii="Verdana" w:hAnsi="Verdana"/>
          <w:sz w:val="20"/>
          <w:szCs w:val="24"/>
        </w:rPr>
        <w:t xml:space="preserve">up of this new section </w:t>
      </w:r>
      <w:r w:rsidR="00320701" w:rsidRPr="00B37972">
        <w:rPr>
          <w:rFonts w:ascii="Verdana" w:hAnsi="Verdana"/>
          <w:sz w:val="20"/>
          <w:szCs w:val="24"/>
        </w:rPr>
        <w:t xml:space="preserve">received </w:t>
      </w:r>
      <w:r w:rsidR="00705B03" w:rsidRPr="00B37972">
        <w:rPr>
          <w:rFonts w:ascii="Verdana" w:hAnsi="Verdana"/>
          <w:sz w:val="20"/>
          <w:szCs w:val="24"/>
        </w:rPr>
        <w:t xml:space="preserve">a </w:t>
      </w:r>
      <w:r w:rsidR="00320701" w:rsidRPr="00B37972">
        <w:rPr>
          <w:rFonts w:ascii="Verdana" w:hAnsi="Verdana"/>
          <w:sz w:val="20"/>
          <w:szCs w:val="24"/>
        </w:rPr>
        <w:t>negative assessment</w:t>
      </w:r>
      <w:r w:rsidR="00872995" w:rsidRPr="00B37972">
        <w:rPr>
          <w:rStyle w:val="Referinnotdesubsol"/>
          <w:rFonts w:ascii="Verdana" w:hAnsi="Verdana"/>
          <w:sz w:val="20"/>
          <w:szCs w:val="24"/>
        </w:rPr>
        <w:footnoteReference w:id="17"/>
      </w:r>
      <w:r w:rsidR="00872995" w:rsidRPr="00B37972">
        <w:rPr>
          <w:rFonts w:ascii="Verdana" w:hAnsi="Verdana"/>
          <w:sz w:val="20"/>
          <w:szCs w:val="24"/>
        </w:rPr>
        <w:t xml:space="preserve"> </w:t>
      </w:r>
      <w:r w:rsidR="00320701" w:rsidRPr="00B37972">
        <w:rPr>
          <w:rFonts w:ascii="Verdana" w:hAnsi="Verdana"/>
          <w:sz w:val="20"/>
          <w:szCs w:val="24"/>
        </w:rPr>
        <w:t>fr</w:t>
      </w:r>
      <w:r w:rsidR="00705B03" w:rsidRPr="00B37972">
        <w:rPr>
          <w:rFonts w:ascii="Verdana" w:hAnsi="Verdana"/>
          <w:sz w:val="20"/>
          <w:szCs w:val="24"/>
        </w:rPr>
        <w:t>o</w:t>
      </w:r>
      <w:r w:rsidR="00320701" w:rsidRPr="00B37972">
        <w:rPr>
          <w:rFonts w:ascii="Verdana" w:hAnsi="Verdana"/>
          <w:sz w:val="20"/>
          <w:szCs w:val="24"/>
        </w:rPr>
        <w:t xml:space="preserve">m </w:t>
      </w:r>
      <w:r w:rsidR="00872995" w:rsidRPr="00B37972">
        <w:rPr>
          <w:rFonts w:ascii="Verdana" w:hAnsi="Verdana"/>
          <w:sz w:val="20"/>
          <w:szCs w:val="24"/>
        </w:rPr>
        <w:t xml:space="preserve">the </w:t>
      </w:r>
      <w:r w:rsidR="007F04A7" w:rsidRPr="00B37972">
        <w:rPr>
          <w:rFonts w:ascii="Verdana" w:hAnsi="Verdana"/>
          <w:sz w:val="20"/>
          <w:szCs w:val="24"/>
        </w:rPr>
        <w:t xml:space="preserve">European Commission </w:t>
      </w:r>
      <w:r w:rsidR="00872995" w:rsidRPr="00B37972">
        <w:rPr>
          <w:rFonts w:ascii="Verdana" w:hAnsi="Verdana"/>
          <w:sz w:val="20"/>
          <w:szCs w:val="24"/>
        </w:rPr>
        <w:t>in it</w:t>
      </w:r>
      <w:r w:rsidR="00DC3B96" w:rsidRPr="00B37972">
        <w:rPr>
          <w:rFonts w:ascii="Verdana" w:hAnsi="Verdana"/>
          <w:sz w:val="20"/>
          <w:szCs w:val="24"/>
        </w:rPr>
        <w:t>s latest CVM Report on Romania.</w:t>
      </w:r>
    </w:p>
    <w:p w:rsidR="006C671E" w:rsidRPr="00B37972" w:rsidRDefault="006C671E" w:rsidP="00B37972">
      <w:pPr>
        <w:pStyle w:val="Listparagraf"/>
        <w:tabs>
          <w:tab w:val="left" w:pos="567"/>
        </w:tabs>
        <w:suppressAutoHyphens w:val="0"/>
        <w:spacing w:after="0" w:line="240" w:lineRule="auto"/>
        <w:ind w:left="0"/>
        <w:jc w:val="both"/>
        <w:rPr>
          <w:rFonts w:ascii="Verdana" w:hAnsi="Verdana"/>
          <w:sz w:val="20"/>
          <w:szCs w:val="24"/>
        </w:rPr>
      </w:pPr>
    </w:p>
    <w:p w:rsidR="006C671E" w:rsidRPr="00B37972" w:rsidRDefault="006C671E"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rPr>
        <w:t>In light of the above,</w:t>
      </w:r>
      <w:r w:rsidR="0097573E" w:rsidRPr="00B37972">
        <w:rPr>
          <w:rFonts w:ascii="Verdana" w:hAnsi="Verdana"/>
          <w:sz w:val="20"/>
          <w:szCs w:val="24"/>
        </w:rPr>
        <w:t xml:space="preserve"> it follows that</w:t>
      </w:r>
      <w:r w:rsidRPr="00B37972">
        <w:rPr>
          <w:rFonts w:ascii="Verdana" w:hAnsi="Verdana"/>
          <w:sz w:val="20"/>
          <w:szCs w:val="24"/>
        </w:rPr>
        <w:t xml:space="preserve"> this recommendation has been </w:t>
      </w:r>
      <w:r w:rsidR="0062615F" w:rsidRPr="00B37972">
        <w:rPr>
          <w:rFonts w:ascii="Verdana" w:hAnsi="Verdana"/>
          <w:sz w:val="20"/>
          <w:szCs w:val="24"/>
        </w:rPr>
        <w:t xml:space="preserve">manifestly </w:t>
      </w:r>
      <w:r w:rsidRPr="00B37972">
        <w:rPr>
          <w:rFonts w:ascii="Verdana" w:hAnsi="Verdana"/>
          <w:sz w:val="20"/>
          <w:szCs w:val="24"/>
        </w:rPr>
        <w:t>disregarded</w:t>
      </w:r>
      <w:r w:rsidR="00B53467" w:rsidRPr="00B37972">
        <w:rPr>
          <w:rFonts w:ascii="Verdana" w:hAnsi="Verdana"/>
          <w:sz w:val="20"/>
          <w:szCs w:val="24"/>
        </w:rPr>
        <w:t xml:space="preserve">. GRECO is gravely concerned by the consequences these developments </w:t>
      </w:r>
      <w:r w:rsidR="004F4383">
        <w:rPr>
          <w:rFonts w:ascii="Verdana" w:hAnsi="Verdana"/>
          <w:sz w:val="20"/>
          <w:szCs w:val="24"/>
        </w:rPr>
        <w:t>are</w:t>
      </w:r>
      <w:r w:rsidR="004F4383" w:rsidRPr="00B37972">
        <w:rPr>
          <w:rFonts w:ascii="Verdana" w:hAnsi="Verdana"/>
          <w:sz w:val="20"/>
          <w:szCs w:val="24"/>
        </w:rPr>
        <w:t xml:space="preserve"> </w:t>
      </w:r>
      <w:r w:rsidR="00C02618" w:rsidRPr="00B37972">
        <w:rPr>
          <w:rFonts w:ascii="Verdana" w:hAnsi="Verdana"/>
          <w:sz w:val="20"/>
          <w:szCs w:val="24"/>
        </w:rPr>
        <w:t>hav</w:t>
      </w:r>
      <w:r w:rsidR="004F4383">
        <w:rPr>
          <w:rFonts w:ascii="Verdana" w:hAnsi="Verdana"/>
          <w:sz w:val="20"/>
          <w:szCs w:val="24"/>
        </w:rPr>
        <w:t>ing</w:t>
      </w:r>
      <w:r w:rsidR="00C02618" w:rsidRPr="00B37972">
        <w:rPr>
          <w:rFonts w:ascii="Verdana" w:hAnsi="Verdana"/>
          <w:sz w:val="20"/>
          <w:szCs w:val="24"/>
        </w:rPr>
        <w:t xml:space="preserve"> </w:t>
      </w:r>
      <w:r w:rsidR="00B53467" w:rsidRPr="00B37972">
        <w:rPr>
          <w:rFonts w:ascii="Verdana" w:hAnsi="Verdana"/>
          <w:sz w:val="20"/>
          <w:szCs w:val="24"/>
        </w:rPr>
        <w:t xml:space="preserve">on </w:t>
      </w:r>
      <w:r w:rsidR="0097573E" w:rsidRPr="00B37972">
        <w:rPr>
          <w:rFonts w:ascii="Verdana" w:hAnsi="Verdana"/>
          <w:sz w:val="20"/>
          <w:szCs w:val="24"/>
        </w:rPr>
        <w:t>the independence of the judiciary</w:t>
      </w:r>
      <w:r w:rsidR="00050E14" w:rsidRPr="00B37972">
        <w:rPr>
          <w:rFonts w:ascii="Verdana" w:hAnsi="Verdana"/>
          <w:sz w:val="20"/>
          <w:szCs w:val="24"/>
        </w:rPr>
        <w:t>,</w:t>
      </w:r>
      <w:r w:rsidR="0097573E" w:rsidRPr="00B37972">
        <w:rPr>
          <w:rFonts w:ascii="Verdana" w:hAnsi="Verdana"/>
          <w:sz w:val="20"/>
          <w:szCs w:val="24"/>
        </w:rPr>
        <w:t xml:space="preserve"> as well as on the fight against </w:t>
      </w:r>
      <w:r w:rsidR="00B53467" w:rsidRPr="00B37972">
        <w:rPr>
          <w:rFonts w:ascii="Verdana" w:hAnsi="Verdana"/>
          <w:sz w:val="20"/>
          <w:szCs w:val="24"/>
        </w:rPr>
        <w:t>corruption</w:t>
      </w:r>
      <w:r w:rsidR="00C02618" w:rsidRPr="00B37972">
        <w:rPr>
          <w:rFonts w:ascii="Verdana" w:hAnsi="Verdana"/>
          <w:sz w:val="20"/>
          <w:szCs w:val="24"/>
        </w:rPr>
        <w:t xml:space="preserve"> in Romania</w:t>
      </w:r>
      <w:r w:rsidR="00DF570B">
        <w:rPr>
          <w:rFonts w:ascii="Verdana" w:hAnsi="Verdana"/>
          <w:sz w:val="20"/>
          <w:szCs w:val="24"/>
        </w:rPr>
        <w:t>,</w:t>
      </w:r>
      <w:r w:rsidR="004F4383">
        <w:rPr>
          <w:rFonts w:ascii="Verdana" w:hAnsi="Verdana"/>
          <w:sz w:val="20"/>
          <w:szCs w:val="24"/>
        </w:rPr>
        <w:t xml:space="preserve"> and insists that the prosecutorial Section for Investigation of Criminal Offences in the Judiciary be abolished</w:t>
      </w:r>
      <w:r w:rsidR="0097573E" w:rsidRPr="00B37972">
        <w:rPr>
          <w:rFonts w:ascii="Verdana" w:hAnsi="Verdana"/>
          <w:sz w:val="20"/>
          <w:szCs w:val="24"/>
        </w:rPr>
        <w:t>.</w:t>
      </w:r>
    </w:p>
    <w:p w:rsidR="0097573E" w:rsidRPr="00B37972" w:rsidRDefault="0097573E" w:rsidP="00B37972">
      <w:pPr>
        <w:pStyle w:val="Listparagraf"/>
        <w:tabs>
          <w:tab w:val="left" w:pos="567"/>
        </w:tabs>
        <w:suppressAutoHyphens w:val="0"/>
        <w:spacing w:after="0" w:line="240" w:lineRule="auto"/>
        <w:ind w:left="0"/>
        <w:jc w:val="both"/>
        <w:rPr>
          <w:rFonts w:ascii="Verdana" w:hAnsi="Verdana"/>
          <w:sz w:val="20"/>
          <w:szCs w:val="24"/>
        </w:rPr>
      </w:pPr>
    </w:p>
    <w:p w:rsidR="0097573E" w:rsidRPr="00B37972" w:rsidRDefault="0097573E"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u w:val="single"/>
        </w:rPr>
      </w:pPr>
      <w:r w:rsidRPr="00B37972">
        <w:rPr>
          <w:rFonts w:ascii="Verdana" w:hAnsi="Verdana"/>
          <w:sz w:val="20"/>
          <w:szCs w:val="24"/>
          <w:u w:val="single"/>
        </w:rPr>
        <w:t>GRECO concludes that this recommendation has not been implemented</w:t>
      </w:r>
      <w:r w:rsidRPr="00B37972">
        <w:rPr>
          <w:rFonts w:ascii="Verdana" w:hAnsi="Verdana"/>
          <w:sz w:val="20"/>
          <w:szCs w:val="24"/>
        </w:rPr>
        <w:t>.</w:t>
      </w:r>
    </w:p>
    <w:p w:rsidR="00160956" w:rsidRPr="00B37972" w:rsidRDefault="00160956" w:rsidP="00B37972">
      <w:pPr>
        <w:suppressAutoHyphens w:val="0"/>
        <w:spacing w:after="0" w:line="240" w:lineRule="auto"/>
        <w:rPr>
          <w:rFonts w:ascii="Verdana" w:hAnsi="Verdana"/>
          <w:i/>
          <w:sz w:val="20"/>
          <w:szCs w:val="24"/>
        </w:rPr>
      </w:pPr>
    </w:p>
    <w:p w:rsidR="00D12937" w:rsidRPr="00B37972" w:rsidRDefault="00D12937" w:rsidP="00B37972">
      <w:pPr>
        <w:pStyle w:val="Listparagraf"/>
        <w:numPr>
          <w:ilvl w:val="0"/>
          <w:numId w:val="3"/>
        </w:numPr>
        <w:suppressAutoHyphens w:val="0"/>
        <w:spacing w:after="0" w:line="240" w:lineRule="auto"/>
        <w:jc w:val="both"/>
        <w:rPr>
          <w:rFonts w:ascii="Verdana" w:hAnsi="Verdana"/>
          <w:sz w:val="20"/>
          <w:szCs w:val="24"/>
        </w:rPr>
      </w:pPr>
      <w:r w:rsidRPr="00B37972">
        <w:rPr>
          <w:rFonts w:ascii="Verdana" w:hAnsi="Verdana"/>
          <w:i/>
          <w:sz w:val="20"/>
          <w:szCs w:val="24"/>
        </w:rPr>
        <w:t>Risks of weakening of the prosecutors’ status, especially their independence</w:t>
      </w:r>
    </w:p>
    <w:p w:rsidR="00D12937" w:rsidRPr="00B37972" w:rsidRDefault="00D12937" w:rsidP="00B37972">
      <w:pPr>
        <w:pStyle w:val="Listparagraf"/>
        <w:suppressAutoHyphens w:val="0"/>
        <w:spacing w:after="0" w:line="240" w:lineRule="auto"/>
        <w:rPr>
          <w:rFonts w:ascii="Verdana" w:hAnsi="Verdana"/>
          <w:sz w:val="20"/>
          <w:szCs w:val="24"/>
        </w:rPr>
      </w:pPr>
    </w:p>
    <w:p w:rsidR="00BA3533" w:rsidRPr="00B37972" w:rsidRDefault="006F58B5" w:rsidP="00B37972">
      <w:pPr>
        <w:pStyle w:val="Listparagraf"/>
        <w:numPr>
          <w:ilvl w:val="0"/>
          <w:numId w:val="5"/>
        </w:numPr>
        <w:tabs>
          <w:tab w:val="left" w:pos="567"/>
        </w:tabs>
        <w:suppressAutoHyphens w:val="0"/>
        <w:spacing w:after="0" w:line="240" w:lineRule="auto"/>
        <w:ind w:left="0" w:firstLine="0"/>
        <w:jc w:val="both"/>
        <w:rPr>
          <w:rFonts w:ascii="Verdana" w:hAnsi="Verdana"/>
          <w:i/>
          <w:sz w:val="20"/>
          <w:szCs w:val="24"/>
        </w:rPr>
      </w:pPr>
      <w:r w:rsidRPr="00B37972">
        <w:rPr>
          <w:rFonts w:ascii="Verdana" w:hAnsi="Verdana"/>
          <w:sz w:val="20"/>
          <w:szCs w:val="24"/>
        </w:rPr>
        <w:t>In its Ad hoc Report,</w:t>
      </w:r>
      <w:r w:rsidRPr="00B37972">
        <w:rPr>
          <w:rFonts w:ascii="Verdana" w:hAnsi="Verdana"/>
          <w:i/>
          <w:sz w:val="20"/>
          <w:szCs w:val="24"/>
        </w:rPr>
        <w:t xml:space="preserve"> </w:t>
      </w:r>
      <w:r w:rsidR="00D12937" w:rsidRPr="00B37972">
        <w:rPr>
          <w:rFonts w:ascii="Verdana" w:hAnsi="Verdana"/>
          <w:i/>
          <w:sz w:val="20"/>
          <w:szCs w:val="24"/>
        </w:rPr>
        <w:t xml:space="preserve">GRECO </w:t>
      </w:r>
      <w:r w:rsidR="00117109" w:rsidRPr="00B37972">
        <w:rPr>
          <w:rFonts w:ascii="Verdana" w:hAnsi="Verdana"/>
          <w:i/>
          <w:sz w:val="20"/>
          <w:szCs w:val="24"/>
        </w:rPr>
        <w:t>recommend</w:t>
      </w:r>
      <w:r w:rsidRPr="00B37972">
        <w:rPr>
          <w:rFonts w:ascii="Verdana" w:hAnsi="Verdana"/>
          <w:i/>
          <w:sz w:val="20"/>
          <w:szCs w:val="24"/>
        </w:rPr>
        <w:t>ed</w:t>
      </w:r>
      <w:r w:rsidR="00117109" w:rsidRPr="00B37972">
        <w:rPr>
          <w:rFonts w:ascii="Verdana" w:hAnsi="Verdana"/>
          <w:i/>
          <w:sz w:val="20"/>
          <w:szCs w:val="24"/>
        </w:rPr>
        <w:t xml:space="preserve"> </w:t>
      </w:r>
      <w:r w:rsidR="00D53CA6" w:rsidRPr="00B37972">
        <w:rPr>
          <w:rFonts w:ascii="Verdana" w:hAnsi="Verdana"/>
          <w:i/>
          <w:sz w:val="20"/>
          <w:szCs w:val="24"/>
        </w:rPr>
        <w:t xml:space="preserve">i) </w:t>
      </w:r>
      <w:r w:rsidR="00454EED" w:rsidRPr="00B37972">
        <w:rPr>
          <w:rFonts w:ascii="Verdana" w:eastAsia="Times New Roman" w:hAnsi="Verdana"/>
          <w:i/>
          <w:sz w:val="20"/>
          <w:szCs w:val="24"/>
        </w:rPr>
        <w:t>ensuring</w:t>
      </w:r>
      <w:r w:rsidR="007A2F21" w:rsidRPr="00B37972">
        <w:rPr>
          <w:rFonts w:ascii="Verdana" w:eastAsia="Times New Roman" w:hAnsi="Verdana"/>
          <w:i/>
          <w:sz w:val="20"/>
          <w:szCs w:val="24"/>
        </w:rPr>
        <w:t xml:space="preserve"> that the independence of the prosecution service is</w:t>
      </w:r>
      <w:r w:rsidR="00454EED" w:rsidRPr="00B37972">
        <w:rPr>
          <w:rFonts w:ascii="Verdana" w:eastAsia="Times New Roman" w:hAnsi="Verdana"/>
          <w:i/>
          <w:sz w:val="20"/>
          <w:szCs w:val="24"/>
        </w:rPr>
        <w:t xml:space="preserve"> –</w:t>
      </w:r>
      <w:r w:rsidR="00AD60C0" w:rsidRPr="00B37972">
        <w:rPr>
          <w:rFonts w:ascii="Verdana" w:eastAsia="Times New Roman" w:hAnsi="Verdana"/>
          <w:i/>
          <w:sz w:val="20"/>
          <w:szCs w:val="24"/>
        </w:rPr>
        <w:t xml:space="preserve"> to the largest extent possible</w:t>
      </w:r>
      <w:r w:rsidR="00454EED" w:rsidRPr="00B37972">
        <w:rPr>
          <w:rFonts w:ascii="Verdana" w:eastAsia="Times New Roman" w:hAnsi="Verdana"/>
          <w:i/>
          <w:sz w:val="20"/>
          <w:szCs w:val="24"/>
        </w:rPr>
        <w:t xml:space="preserve"> –</w:t>
      </w:r>
      <w:r w:rsidR="007A2F21" w:rsidRPr="00B37972">
        <w:rPr>
          <w:rFonts w:ascii="Verdana" w:eastAsia="Times New Roman" w:hAnsi="Verdana"/>
          <w:i/>
          <w:sz w:val="20"/>
          <w:szCs w:val="24"/>
        </w:rPr>
        <w:t xml:space="preserve"> guaranteed by law</w:t>
      </w:r>
      <w:r w:rsidR="00454EED" w:rsidRPr="00B37972">
        <w:rPr>
          <w:rFonts w:ascii="Verdana" w:eastAsia="Times New Roman" w:hAnsi="Verdana"/>
          <w:i/>
          <w:sz w:val="20"/>
          <w:szCs w:val="24"/>
        </w:rPr>
        <w:t>,</w:t>
      </w:r>
      <w:r w:rsidR="007A2F21" w:rsidRPr="00B37972">
        <w:rPr>
          <w:rFonts w:ascii="Verdana" w:eastAsia="Times New Roman" w:hAnsi="Verdana"/>
          <w:i/>
          <w:sz w:val="20"/>
          <w:szCs w:val="24"/>
        </w:rPr>
        <w:t xml:space="preserve"> </w:t>
      </w:r>
      <w:r w:rsidR="001E1CF8" w:rsidRPr="00B37972">
        <w:rPr>
          <w:rFonts w:ascii="Verdana" w:eastAsia="Times New Roman" w:hAnsi="Verdana"/>
          <w:i/>
          <w:sz w:val="20"/>
          <w:szCs w:val="24"/>
        </w:rPr>
        <w:t xml:space="preserve">and </w:t>
      </w:r>
      <w:r w:rsidR="00D53CA6" w:rsidRPr="00B37972">
        <w:rPr>
          <w:rFonts w:ascii="Verdana" w:eastAsia="Times New Roman" w:hAnsi="Verdana"/>
          <w:i/>
          <w:sz w:val="20"/>
          <w:szCs w:val="24"/>
        </w:rPr>
        <w:t xml:space="preserve">ii) </w:t>
      </w:r>
      <w:r w:rsidR="007A2F21" w:rsidRPr="00B37972">
        <w:rPr>
          <w:rFonts w:ascii="Verdana" w:eastAsia="Times New Roman" w:hAnsi="Verdana"/>
          <w:i/>
          <w:sz w:val="20"/>
          <w:szCs w:val="24"/>
        </w:rPr>
        <w:t>assess</w:t>
      </w:r>
      <w:r w:rsidR="00454EED" w:rsidRPr="00B37972">
        <w:rPr>
          <w:rFonts w:ascii="Verdana" w:eastAsia="Times New Roman" w:hAnsi="Verdana"/>
          <w:i/>
          <w:sz w:val="20"/>
          <w:szCs w:val="24"/>
        </w:rPr>
        <w:t>ing</w:t>
      </w:r>
      <w:r w:rsidR="007A2F21" w:rsidRPr="00B37972">
        <w:rPr>
          <w:rFonts w:ascii="Verdana" w:eastAsia="Times New Roman" w:hAnsi="Verdana"/>
          <w:i/>
          <w:sz w:val="20"/>
          <w:szCs w:val="24"/>
        </w:rPr>
        <w:t xml:space="preserve"> the impact of the intended changes on the future operational independence of prosecutors so that additional safeguards be taken</w:t>
      </w:r>
      <w:r w:rsidR="00C5391A" w:rsidRPr="00B37972">
        <w:rPr>
          <w:rFonts w:ascii="Verdana" w:hAnsi="Verdana"/>
          <w:i/>
          <w:sz w:val="20"/>
          <w:szCs w:val="24"/>
        </w:rPr>
        <w:t>, as necessary, to guard against inter</w:t>
      </w:r>
      <w:r w:rsidR="00B514F8" w:rsidRPr="00B37972">
        <w:rPr>
          <w:rFonts w:ascii="Verdana" w:hAnsi="Verdana"/>
          <w:i/>
          <w:sz w:val="20"/>
          <w:szCs w:val="24"/>
        </w:rPr>
        <w:t>ference</w:t>
      </w:r>
      <w:r w:rsidR="00050E14" w:rsidRPr="00B37972">
        <w:rPr>
          <w:rFonts w:ascii="Verdana" w:hAnsi="Verdana"/>
          <w:sz w:val="20"/>
          <w:szCs w:val="24"/>
        </w:rPr>
        <w:t xml:space="preserve"> (recommendation iii)</w:t>
      </w:r>
      <w:r w:rsidR="00D12937" w:rsidRPr="00B37972">
        <w:rPr>
          <w:rFonts w:ascii="Verdana" w:hAnsi="Verdana"/>
          <w:i/>
          <w:sz w:val="20"/>
          <w:szCs w:val="24"/>
        </w:rPr>
        <w:t>.</w:t>
      </w:r>
    </w:p>
    <w:p w:rsidR="00BA3533" w:rsidRPr="00B37972" w:rsidRDefault="00BA3533" w:rsidP="00B37972">
      <w:pPr>
        <w:pStyle w:val="Listparagraf"/>
        <w:tabs>
          <w:tab w:val="left" w:pos="567"/>
        </w:tabs>
        <w:suppressAutoHyphens w:val="0"/>
        <w:spacing w:after="0" w:line="240" w:lineRule="auto"/>
        <w:ind w:left="0"/>
        <w:jc w:val="both"/>
        <w:rPr>
          <w:rFonts w:ascii="Verdana" w:hAnsi="Verdana"/>
          <w:i/>
          <w:sz w:val="20"/>
          <w:szCs w:val="24"/>
        </w:rPr>
      </w:pPr>
    </w:p>
    <w:p w:rsidR="00AE6CD4" w:rsidRPr="00B37972" w:rsidRDefault="00BA3533" w:rsidP="00B37972">
      <w:pPr>
        <w:pStyle w:val="Listparagraf"/>
        <w:numPr>
          <w:ilvl w:val="0"/>
          <w:numId w:val="5"/>
        </w:numPr>
        <w:tabs>
          <w:tab w:val="left" w:pos="567"/>
        </w:tabs>
        <w:suppressAutoHyphens w:val="0"/>
        <w:spacing w:after="0" w:line="240" w:lineRule="auto"/>
        <w:ind w:left="0" w:firstLine="0"/>
        <w:jc w:val="both"/>
        <w:rPr>
          <w:rFonts w:ascii="Verdana" w:hAnsi="Verdana"/>
          <w:i/>
          <w:sz w:val="20"/>
          <w:szCs w:val="24"/>
        </w:rPr>
      </w:pPr>
      <w:r w:rsidRPr="00B37972">
        <w:rPr>
          <w:rFonts w:ascii="Verdana" w:hAnsi="Verdana"/>
          <w:sz w:val="20"/>
          <w:szCs w:val="24"/>
          <w:u w:val="single"/>
        </w:rPr>
        <w:t>GRECO</w:t>
      </w:r>
      <w:r w:rsidRPr="00B37972">
        <w:rPr>
          <w:rFonts w:ascii="Verdana" w:hAnsi="Verdana"/>
          <w:sz w:val="20"/>
          <w:szCs w:val="24"/>
        </w:rPr>
        <w:t xml:space="preserve"> recalls that this recommendation was adopted in view of the fact that </w:t>
      </w:r>
      <w:r w:rsidR="00663891" w:rsidRPr="00B37972">
        <w:rPr>
          <w:rFonts w:ascii="Verdana" w:hAnsi="Verdana"/>
          <w:sz w:val="20"/>
          <w:szCs w:val="24"/>
        </w:rPr>
        <w:t xml:space="preserve">the </w:t>
      </w:r>
      <w:r w:rsidRPr="00B37972">
        <w:rPr>
          <w:rFonts w:ascii="Verdana" w:hAnsi="Verdana"/>
          <w:sz w:val="20"/>
          <w:szCs w:val="24"/>
        </w:rPr>
        <w:t xml:space="preserve">intended changes for the position of the prosecutorial bodies vis-à-vis the executive (Minister of Justice) would have a weakening effect on the independence of prosecutors and constitute a regression of legal guarantees of such independence, limiting it to the settlement of solutions only. Furthermore, taken in conjunction with broadening the possibilities for hierarchically superior prosecutors to invalidate decisions taken by prosecutors, not only if unlawful but also if ungrounded, such amendments risked reducing </w:t>
      </w:r>
      <w:r w:rsidR="005D2443" w:rsidRPr="00B37972">
        <w:rPr>
          <w:rFonts w:ascii="Verdana" w:hAnsi="Verdana"/>
          <w:sz w:val="20"/>
          <w:szCs w:val="24"/>
        </w:rPr>
        <w:t xml:space="preserve">the </w:t>
      </w:r>
      <w:r w:rsidRPr="00B37972">
        <w:rPr>
          <w:rFonts w:ascii="Verdana" w:hAnsi="Verdana"/>
          <w:sz w:val="20"/>
          <w:szCs w:val="24"/>
        </w:rPr>
        <w:t>operational independence of prosecutors even further.</w:t>
      </w:r>
    </w:p>
    <w:p w:rsidR="00AE6CD4" w:rsidRPr="00B37972" w:rsidRDefault="00AE6CD4" w:rsidP="00B37972">
      <w:pPr>
        <w:pStyle w:val="Listparagraf"/>
        <w:tabs>
          <w:tab w:val="left" w:pos="567"/>
        </w:tabs>
        <w:suppressAutoHyphens w:val="0"/>
        <w:spacing w:after="0" w:line="240" w:lineRule="auto"/>
        <w:ind w:left="0"/>
        <w:jc w:val="both"/>
        <w:rPr>
          <w:rFonts w:ascii="Verdana" w:hAnsi="Verdana"/>
          <w:sz w:val="20"/>
          <w:szCs w:val="24"/>
        </w:rPr>
      </w:pPr>
    </w:p>
    <w:p w:rsidR="00C0356D" w:rsidRPr="00B37972" w:rsidRDefault="00C0356D" w:rsidP="00B37972">
      <w:pPr>
        <w:pStyle w:val="Listparagraf"/>
        <w:numPr>
          <w:ilvl w:val="0"/>
          <w:numId w:val="5"/>
        </w:numPr>
        <w:tabs>
          <w:tab w:val="left" w:pos="567"/>
        </w:tabs>
        <w:suppressAutoHyphens w:val="0"/>
        <w:spacing w:after="0" w:line="240" w:lineRule="auto"/>
        <w:ind w:left="0" w:firstLine="0"/>
        <w:jc w:val="both"/>
        <w:rPr>
          <w:rFonts w:ascii="Verdana" w:hAnsi="Verdana"/>
          <w:noProof/>
          <w:sz w:val="20"/>
        </w:rPr>
      </w:pPr>
      <w:r w:rsidRPr="00B37972">
        <w:rPr>
          <w:rFonts w:ascii="Verdana" w:hAnsi="Verdana"/>
          <w:noProof/>
          <w:sz w:val="20"/>
          <w:u w:val="single"/>
        </w:rPr>
        <w:t>The Romanian authorities</w:t>
      </w:r>
      <w:r w:rsidRPr="00B37972">
        <w:rPr>
          <w:rFonts w:ascii="Verdana" w:hAnsi="Verdana"/>
          <w:noProof/>
          <w:sz w:val="20"/>
        </w:rPr>
        <w:t xml:space="preserve"> state that the </w:t>
      </w:r>
      <w:r w:rsidR="00E46352" w:rsidRPr="00B37972">
        <w:rPr>
          <w:rFonts w:ascii="Verdana" w:hAnsi="Verdana"/>
          <w:noProof/>
          <w:sz w:val="20"/>
        </w:rPr>
        <w:t xml:space="preserve">amendments to Law no. 303 were carried out with the purpose of bringing it in line with the provisions of the Romanian Constitution, which differentiates the degree of independence of judges from that of prosecutors. </w:t>
      </w:r>
      <w:r w:rsidRPr="00B37972">
        <w:rPr>
          <w:rFonts w:ascii="Verdana" w:hAnsi="Verdana"/>
          <w:noProof/>
          <w:sz w:val="20"/>
        </w:rPr>
        <w:t xml:space="preserve">According to </w:t>
      </w:r>
      <w:r w:rsidR="00E46352" w:rsidRPr="00B37972">
        <w:rPr>
          <w:rFonts w:ascii="Verdana" w:hAnsi="Verdana"/>
          <w:noProof/>
          <w:sz w:val="20"/>
        </w:rPr>
        <w:t>A</w:t>
      </w:r>
      <w:r w:rsidRPr="00B37972">
        <w:rPr>
          <w:rFonts w:ascii="Verdana" w:hAnsi="Verdana"/>
          <w:noProof/>
          <w:sz w:val="20"/>
        </w:rPr>
        <w:t>rt</w:t>
      </w:r>
      <w:r w:rsidR="00E46352" w:rsidRPr="00B37972">
        <w:rPr>
          <w:rFonts w:ascii="Verdana" w:hAnsi="Verdana"/>
          <w:noProof/>
          <w:sz w:val="20"/>
        </w:rPr>
        <w:t>icle</w:t>
      </w:r>
      <w:r w:rsidRPr="00B37972">
        <w:rPr>
          <w:rFonts w:ascii="Verdana" w:hAnsi="Verdana"/>
          <w:noProof/>
          <w:sz w:val="20"/>
        </w:rPr>
        <w:t xml:space="preserve"> 124</w:t>
      </w:r>
      <w:r w:rsidR="00B76CFB" w:rsidRPr="00B37972">
        <w:rPr>
          <w:rFonts w:ascii="Verdana" w:hAnsi="Verdana"/>
          <w:noProof/>
          <w:sz w:val="20"/>
        </w:rPr>
        <w:t>,</w:t>
      </w:r>
      <w:r w:rsidRPr="00B37972">
        <w:rPr>
          <w:rFonts w:ascii="Verdana" w:hAnsi="Verdana"/>
          <w:noProof/>
          <w:sz w:val="20"/>
        </w:rPr>
        <w:t xml:space="preserve"> para</w:t>
      </w:r>
      <w:r w:rsidR="00E46352" w:rsidRPr="00B37972">
        <w:rPr>
          <w:rFonts w:ascii="Verdana" w:hAnsi="Verdana"/>
          <w:noProof/>
          <w:sz w:val="20"/>
        </w:rPr>
        <w:t>graph</w:t>
      </w:r>
      <w:r w:rsidRPr="00B37972">
        <w:rPr>
          <w:rFonts w:ascii="Verdana" w:hAnsi="Verdana"/>
          <w:noProof/>
          <w:sz w:val="20"/>
        </w:rPr>
        <w:t xml:space="preserve"> (3)</w:t>
      </w:r>
      <w:r w:rsidR="00E46352" w:rsidRPr="00B37972">
        <w:rPr>
          <w:rFonts w:ascii="Verdana" w:hAnsi="Verdana"/>
          <w:noProof/>
          <w:sz w:val="20"/>
        </w:rPr>
        <w:t xml:space="preserve"> of the Constitution, </w:t>
      </w:r>
      <w:r w:rsidR="00E46352" w:rsidRPr="00B37972">
        <w:rPr>
          <w:rFonts w:ascii="Verdana" w:hAnsi="Verdana"/>
          <w:i/>
          <w:noProof/>
          <w:sz w:val="20"/>
        </w:rPr>
        <w:t>“j</w:t>
      </w:r>
      <w:r w:rsidRPr="00B37972">
        <w:rPr>
          <w:rFonts w:ascii="Verdana" w:hAnsi="Verdana"/>
          <w:i/>
          <w:noProof/>
          <w:sz w:val="20"/>
        </w:rPr>
        <w:t>udges are independent and subject only to the law</w:t>
      </w:r>
      <w:r w:rsidR="00E46352" w:rsidRPr="00B37972">
        <w:rPr>
          <w:rFonts w:ascii="Verdana" w:hAnsi="Verdana"/>
          <w:i/>
          <w:noProof/>
          <w:sz w:val="20"/>
        </w:rPr>
        <w:t>”</w:t>
      </w:r>
      <w:r w:rsidRPr="00B37972">
        <w:rPr>
          <w:rFonts w:ascii="Verdana" w:hAnsi="Verdana"/>
          <w:noProof/>
          <w:sz w:val="20"/>
        </w:rPr>
        <w:t xml:space="preserve">, while </w:t>
      </w:r>
      <w:r w:rsidR="00E46352" w:rsidRPr="00B37972">
        <w:rPr>
          <w:rFonts w:ascii="Verdana" w:hAnsi="Verdana"/>
          <w:noProof/>
          <w:sz w:val="20"/>
        </w:rPr>
        <w:t>A</w:t>
      </w:r>
      <w:r w:rsidRPr="00B37972">
        <w:rPr>
          <w:rFonts w:ascii="Verdana" w:hAnsi="Verdana"/>
          <w:noProof/>
          <w:sz w:val="20"/>
        </w:rPr>
        <w:t>rt</w:t>
      </w:r>
      <w:r w:rsidR="00E46352" w:rsidRPr="00B37972">
        <w:rPr>
          <w:rFonts w:ascii="Verdana" w:hAnsi="Verdana"/>
          <w:noProof/>
          <w:sz w:val="20"/>
        </w:rPr>
        <w:t>icle</w:t>
      </w:r>
      <w:r w:rsidRPr="00B37972">
        <w:rPr>
          <w:rFonts w:ascii="Verdana" w:hAnsi="Verdana"/>
          <w:noProof/>
          <w:sz w:val="20"/>
        </w:rPr>
        <w:t xml:space="preserve"> 132</w:t>
      </w:r>
      <w:r w:rsidR="00B76CFB" w:rsidRPr="00B37972">
        <w:rPr>
          <w:rFonts w:ascii="Verdana" w:hAnsi="Verdana"/>
          <w:noProof/>
          <w:sz w:val="20"/>
        </w:rPr>
        <w:t>,</w:t>
      </w:r>
      <w:r w:rsidRPr="00B37972">
        <w:rPr>
          <w:rFonts w:ascii="Verdana" w:hAnsi="Verdana"/>
          <w:noProof/>
          <w:sz w:val="20"/>
        </w:rPr>
        <w:t xml:space="preserve"> para</w:t>
      </w:r>
      <w:r w:rsidR="00E46352" w:rsidRPr="00B37972">
        <w:rPr>
          <w:rFonts w:ascii="Verdana" w:hAnsi="Verdana"/>
          <w:noProof/>
          <w:sz w:val="20"/>
        </w:rPr>
        <w:t>graph</w:t>
      </w:r>
      <w:r w:rsidRPr="00B37972">
        <w:rPr>
          <w:rFonts w:ascii="Verdana" w:hAnsi="Verdana"/>
          <w:noProof/>
          <w:sz w:val="20"/>
        </w:rPr>
        <w:t xml:space="preserve"> (1) states that</w:t>
      </w:r>
      <w:r w:rsidR="00112F06" w:rsidRPr="00B37972">
        <w:rPr>
          <w:rFonts w:ascii="Verdana" w:hAnsi="Verdana"/>
          <w:noProof/>
          <w:sz w:val="20"/>
        </w:rPr>
        <w:t xml:space="preserve"> </w:t>
      </w:r>
      <w:r w:rsidR="00112F06" w:rsidRPr="00B37972">
        <w:rPr>
          <w:rFonts w:ascii="Verdana" w:hAnsi="Verdana"/>
          <w:i/>
          <w:noProof/>
          <w:sz w:val="20"/>
        </w:rPr>
        <w:t>“</w:t>
      </w:r>
      <w:r w:rsidRPr="00B37972">
        <w:rPr>
          <w:rFonts w:ascii="Verdana" w:hAnsi="Verdana"/>
          <w:i/>
          <w:noProof/>
          <w:sz w:val="20"/>
        </w:rPr>
        <w:t>the prosecutors shall carry out their activity according to the principle of legality, impartiality and hierarchical control, under the authority of the Minister of Justice”</w:t>
      </w:r>
      <w:r w:rsidRPr="00B37972">
        <w:rPr>
          <w:rFonts w:ascii="Verdana" w:hAnsi="Verdana"/>
          <w:noProof/>
          <w:sz w:val="20"/>
        </w:rPr>
        <w:t xml:space="preserve">. </w:t>
      </w:r>
      <w:r w:rsidR="00E46352" w:rsidRPr="00B37972">
        <w:rPr>
          <w:rFonts w:ascii="Verdana" w:hAnsi="Verdana"/>
          <w:noProof/>
          <w:sz w:val="20"/>
        </w:rPr>
        <w:t>In addition, th</w:t>
      </w:r>
      <w:r w:rsidRPr="00B37972">
        <w:rPr>
          <w:rFonts w:ascii="Verdana" w:hAnsi="Verdana" w:cs="Arial"/>
          <w:noProof/>
          <w:sz w:val="20"/>
        </w:rPr>
        <w:t xml:space="preserve">e authorities </w:t>
      </w:r>
      <w:r w:rsidR="00E46352" w:rsidRPr="00B37972">
        <w:rPr>
          <w:rFonts w:ascii="Verdana" w:hAnsi="Verdana" w:cs="Arial"/>
          <w:noProof/>
          <w:sz w:val="20"/>
        </w:rPr>
        <w:t xml:space="preserve">refer to </w:t>
      </w:r>
      <w:r w:rsidRPr="00B37972">
        <w:rPr>
          <w:rFonts w:ascii="Verdana" w:hAnsi="Verdana" w:cs="Arial"/>
          <w:noProof/>
          <w:sz w:val="20"/>
        </w:rPr>
        <w:t xml:space="preserve">the </w:t>
      </w:r>
      <w:r w:rsidR="00E46352" w:rsidRPr="00B37972">
        <w:rPr>
          <w:rFonts w:ascii="Verdana" w:hAnsi="Verdana" w:cs="Arial"/>
          <w:noProof/>
          <w:sz w:val="20"/>
        </w:rPr>
        <w:t xml:space="preserve">position of the Venice Commission, suggesting that </w:t>
      </w:r>
      <w:r w:rsidR="00E46352" w:rsidRPr="00B37972">
        <w:rPr>
          <w:rFonts w:ascii="Verdana" w:hAnsi="Verdana" w:cs="Arial"/>
          <w:i/>
          <w:noProof/>
          <w:sz w:val="20"/>
        </w:rPr>
        <w:t>“the independence or autonomy of the prosecutor’s office is not as categorical in nature as that of the courts. Even where the prosecutor’s office as an institution is independent there may be a hierarchical control of the decisions and activities of prosecutors other than the prosecutor general”</w:t>
      </w:r>
      <w:r w:rsidR="00E46352" w:rsidRPr="00B37972">
        <w:rPr>
          <w:rFonts w:ascii="Verdana" w:hAnsi="Verdana" w:cs="Arial"/>
          <w:noProof/>
          <w:sz w:val="20"/>
        </w:rPr>
        <w:t>.</w:t>
      </w:r>
      <w:r w:rsidR="00E46352" w:rsidRPr="00B37972">
        <w:rPr>
          <w:rStyle w:val="Referinnotdesubsol"/>
          <w:rFonts w:ascii="Verdana" w:hAnsi="Verdana" w:cs="Arial"/>
          <w:noProof/>
          <w:sz w:val="20"/>
        </w:rPr>
        <w:footnoteReference w:id="18"/>
      </w:r>
      <w:r w:rsidR="00E46352" w:rsidRPr="00B37972">
        <w:rPr>
          <w:rFonts w:ascii="Verdana" w:hAnsi="Verdana" w:cs="Arial"/>
          <w:noProof/>
          <w:sz w:val="20"/>
        </w:rPr>
        <w:t xml:space="preserve"> As </w:t>
      </w:r>
      <w:r w:rsidR="00482B09" w:rsidRPr="00B37972">
        <w:rPr>
          <w:rFonts w:ascii="Verdana" w:hAnsi="Verdana" w:cs="Arial"/>
          <w:noProof/>
          <w:sz w:val="20"/>
        </w:rPr>
        <w:t>a</w:t>
      </w:r>
      <w:r w:rsidR="00E46352" w:rsidRPr="00B37972">
        <w:rPr>
          <w:rFonts w:ascii="Verdana" w:hAnsi="Verdana" w:cs="Arial"/>
          <w:noProof/>
          <w:sz w:val="20"/>
        </w:rPr>
        <w:t xml:space="preserve"> re</w:t>
      </w:r>
      <w:r w:rsidR="000C27B5" w:rsidRPr="00B37972">
        <w:rPr>
          <w:rFonts w:ascii="Verdana" w:hAnsi="Verdana" w:cs="Arial"/>
          <w:noProof/>
          <w:sz w:val="20"/>
        </w:rPr>
        <w:t>sult of the adopted amendments to Law no. 303/2004 on the statu</w:t>
      </w:r>
      <w:r w:rsidR="006A786A" w:rsidRPr="00B37972">
        <w:rPr>
          <w:rFonts w:ascii="Verdana" w:hAnsi="Verdana" w:cs="Arial"/>
          <w:noProof/>
          <w:sz w:val="20"/>
        </w:rPr>
        <w:t>te</w:t>
      </w:r>
      <w:r w:rsidR="000C27B5" w:rsidRPr="00B37972">
        <w:rPr>
          <w:rFonts w:ascii="Verdana" w:hAnsi="Verdana" w:cs="Arial"/>
          <w:noProof/>
          <w:sz w:val="20"/>
        </w:rPr>
        <w:t xml:space="preserve"> of judges and prosecutors, </w:t>
      </w:r>
      <w:r w:rsidR="000C27B5" w:rsidRPr="00B37972">
        <w:rPr>
          <w:rFonts w:ascii="Verdana" w:hAnsi="Verdana"/>
          <w:noProof/>
          <w:sz w:val="20"/>
        </w:rPr>
        <w:t>the new wording relating to prosecutorial independence is as follows:</w:t>
      </w:r>
    </w:p>
    <w:p w:rsidR="00B4457B" w:rsidRDefault="00B4457B">
      <w:pPr>
        <w:suppressAutoHyphens w:val="0"/>
        <w:spacing w:after="0" w:line="240" w:lineRule="auto"/>
        <w:rPr>
          <w:rFonts w:ascii="Verdana" w:hAnsi="Verdana"/>
          <w:noProof/>
          <w:sz w:val="20"/>
        </w:rPr>
      </w:pPr>
      <w:r>
        <w:rPr>
          <w:rFonts w:ascii="Verdana" w:hAnsi="Verdana"/>
          <w:noProof/>
          <w:sz w:val="20"/>
        </w:rPr>
        <w:br w:type="page"/>
      </w:r>
    </w:p>
    <w:tbl>
      <w:tblPr>
        <w:tblStyle w:val="Tabelgril"/>
        <w:tblW w:w="0" w:type="auto"/>
        <w:tblInd w:w="108" w:type="dxa"/>
        <w:tblLook w:val="04A0" w:firstRow="1" w:lastRow="0" w:firstColumn="1" w:lastColumn="0" w:noHBand="0" w:noVBand="1"/>
      </w:tblPr>
      <w:tblGrid>
        <w:gridCol w:w="9096"/>
      </w:tblGrid>
      <w:tr w:rsidR="00C0356D" w:rsidRPr="00B37972" w:rsidTr="00B4457B">
        <w:tc>
          <w:tcPr>
            <w:tcW w:w="9322" w:type="dxa"/>
          </w:tcPr>
          <w:p w:rsidR="005049E6" w:rsidRPr="00B37972" w:rsidRDefault="005049E6" w:rsidP="00B37972">
            <w:pPr>
              <w:autoSpaceDE w:val="0"/>
              <w:autoSpaceDN w:val="0"/>
              <w:adjustRightInd w:val="0"/>
              <w:spacing w:after="0" w:line="240" w:lineRule="auto"/>
              <w:ind w:left="176" w:right="176"/>
              <w:jc w:val="both"/>
              <w:rPr>
                <w:rFonts w:ascii="Verdana" w:hAnsi="Verdana"/>
                <w:b/>
                <w:bCs/>
                <w:i/>
                <w:noProof/>
                <w:sz w:val="16"/>
              </w:rPr>
            </w:pPr>
          </w:p>
          <w:p w:rsidR="00C0356D" w:rsidRPr="00B37972" w:rsidRDefault="00C0356D" w:rsidP="00B37972">
            <w:pPr>
              <w:autoSpaceDE w:val="0"/>
              <w:autoSpaceDN w:val="0"/>
              <w:adjustRightInd w:val="0"/>
              <w:spacing w:after="0" w:line="240" w:lineRule="auto"/>
              <w:ind w:left="176" w:right="176"/>
              <w:jc w:val="both"/>
              <w:rPr>
                <w:rFonts w:ascii="Verdana" w:hAnsi="Verdana"/>
                <w:b/>
                <w:bCs/>
                <w:i/>
                <w:noProof/>
                <w:sz w:val="16"/>
              </w:rPr>
            </w:pPr>
            <w:r w:rsidRPr="00B37972">
              <w:rPr>
                <w:rFonts w:ascii="Verdana" w:hAnsi="Verdana"/>
                <w:b/>
                <w:bCs/>
                <w:i/>
                <w:noProof/>
                <w:sz w:val="16"/>
              </w:rPr>
              <w:t>4. In article 3, after paragraph (1)</w:t>
            </w:r>
            <w:r w:rsidR="00482B09" w:rsidRPr="00B37972">
              <w:rPr>
                <w:rFonts w:ascii="Verdana" w:hAnsi="Verdana"/>
                <w:b/>
                <w:bCs/>
                <w:i/>
                <w:noProof/>
                <w:sz w:val="16"/>
              </w:rPr>
              <w:t>,</w:t>
            </w:r>
            <w:r w:rsidRPr="00B37972">
              <w:rPr>
                <w:rFonts w:ascii="Verdana" w:hAnsi="Verdana"/>
                <w:b/>
                <w:bCs/>
                <w:i/>
                <w:noProof/>
                <w:sz w:val="16"/>
              </w:rPr>
              <w:t xml:space="preserve"> paragraph (1¹) and (1</w:t>
            </w:r>
            <w:r w:rsidRPr="00B37972">
              <w:rPr>
                <w:rFonts w:ascii="Verdana" w:hAnsi="Verdana"/>
                <w:b/>
                <w:bCs/>
                <w:i/>
                <w:noProof/>
                <w:sz w:val="16"/>
                <w:vertAlign w:val="superscript"/>
              </w:rPr>
              <w:t>2</w:t>
            </w:r>
            <w:r w:rsidRPr="00B37972">
              <w:rPr>
                <w:rFonts w:ascii="Verdana" w:hAnsi="Verdana"/>
                <w:b/>
                <w:bCs/>
                <w:i/>
                <w:noProof/>
                <w:sz w:val="16"/>
              </w:rPr>
              <w:t>) shall be inserted:</w:t>
            </w:r>
          </w:p>
          <w:p w:rsidR="00C0356D" w:rsidRPr="00B37972" w:rsidRDefault="00C0356D" w:rsidP="00B37972">
            <w:pPr>
              <w:autoSpaceDE w:val="0"/>
              <w:autoSpaceDN w:val="0"/>
              <w:adjustRightInd w:val="0"/>
              <w:spacing w:after="0" w:line="240" w:lineRule="auto"/>
              <w:ind w:left="176" w:right="176"/>
              <w:jc w:val="both"/>
              <w:rPr>
                <w:rFonts w:ascii="Verdana" w:hAnsi="Verdana"/>
                <w:i/>
                <w:noProof/>
                <w:sz w:val="16"/>
              </w:rPr>
            </w:pPr>
            <w:r w:rsidRPr="00B37972">
              <w:rPr>
                <w:rFonts w:ascii="Verdana" w:hAnsi="Verdana"/>
                <w:i/>
                <w:noProof/>
                <w:sz w:val="16"/>
              </w:rPr>
              <w:t>(1¹) Prosecutors are independent in the settlement of the solutions, under the conditions stipulated by the Law no. 304/2004, regarding the judicial organization, republished, as subsequently amended and supplemented.</w:t>
            </w:r>
          </w:p>
          <w:p w:rsidR="00C0356D" w:rsidRPr="00B37972" w:rsidRDefault="00C0356D" w:rsidP="00B37972">
            <w:pPr>
              <w:autoSpaceDE w:val="0"/>
              <w:autoSpaceDN w:val="0"/>
              <w:adjustRightInd w:val="0"/>
              <w:spacing w:after="0" w:line="240" w:lineRule="auto"/>
              <w:ind w:left="176" w:right="176"/>
              <w:jc w:val="both"/>
              <w:rPr>
                <w:rFonts w:ascii="Verdana" w:hAnsi="Verdana"/>
                <w:i/>
                <w:noProof/>
                <w:sz w:val="16"/>
              </w:rPr>
            </w:pPr>
            <w:r w:rsidRPr="00B37972">
              <w:rPr>
                <w:rFonts w:ascii="Verdana" w:hAnsi="Verdana"/>
                <w:i/>
                <w:noProof/>
                <w:sz w:val="16"/>
              </w:rPr>
              <w:t>(1</w:t>
            </w:r>
            <w:r w:rsidRPr="00B37972">
              <w:rPr>
                <w:rFonts w:ascii="Verdana" w:hAnsi="Verdana"/>
                <w:i/>
                <w:noProof/>
                <w:sz w:val="16"/>
                <w:vertAlign w:val="superscript"/>
              </w:rPr>
              <w:t>2</w:t>
            </w:r>
            <w:r w:rsidRPr="00B37972">
              <w:rPr>
                <w:rFonts w:ascii="Verdana" w:hAnsi="Verdana"/>
                <w:i/>
                <w:noProof/>
                <w:sz w:val="16"/>
              </w:rPr>
              <w:t>)Prosecutors appointed by the President of</w:t>
            </w:r>
            <w:r w:rsidR="005049E6" w:rsidRPr="00B37972">
              <w:rPr>
                <w:rFonts w:ascii="Verdana" w:hAnsi="Verdana"/>
                <w:i/>
                <w:noProof/>
                <w:sz w:val="16"/>
              </w:rPr>
              <w:t xml:space="preserve"> Romania shall enjoy stability.</w:t>
            </w:r>
          </w:p>
          <w:p w:rsidR="005049E6" w:rsidRPr="00B37972" w:rsidRDefault="005049E6" w:rsidP="00B37972">
            <w:pPr>
              <w:autoSpaceDE w:val="0"/>
              <w:autoSpaceDN w:val="0"/>
              <w:adjustRightInd w:val="0"/>
              <w:spacing w:after="0" w:line="240" w:lineRule="auto"/>
              <w:ind w:left="176" w:right="176"/>
              <w:jc w:val="both"/>
              <w:rPr>
                <w:rFonts w:ascii="Verdana" w:hAnsi="Verdana"/>
                <w:i/>
                <w:noProof/>
                <w:sz w:val="16"/>
              </w:rPr>
            </w:pPr>
          </w:p>
        </w:tc>
      </w:tr>
    </w:tbl>
    <w:p w:rsidR="00C0356D" w:rsidRPr="00B37972" w:rsidRDefault="00C0356D" w:rsidP="00B37972">
      <w:pPr>
        <w:spacing w:after="0" w:line="240" w:lineRule="auto"/>
        <w:jc w:val="both"/>
        <w:rPr>
          <w:rFonts w:ascii="Verdana" w:hAnsi="Verdana"/>
          <w:noProof/>
          <w:sz w:val="20"/>
        </w:rPr>
      </w:pPr>
    </w:p>
    <w:p w:rsidR="00C0356D" w:rsidRPr="00B37972" w:rsidRDefault="000C27B5" w:rsidP="00B37972">
      <w:pPr>
        <w:pStyle w:val="Listparagraf"/>
        <w:numPr>
          <w:ilvl w:val="0"/>
          <w:numId w:val="5"/>
        </w:numPr>
        <w:tabs>
          <w:tab w:val="left" w:pos="567"/>
        </w:tabs>
        <w:suppressAutoHyphens w:val="0"/>
        <w:spacing w:after="0" w:line="240" w:lineRule="auto"/>
        <w:ind w:left="0" w:firstLine="0"/>
        <w:jc w:val="both"/>
        <w:rPr>
          <w:rFonts w:ascii="Verdana" w:hAnsi="Verdana"/>
          <w:noProof/>
          <w:sz w:val="20"/>
        </w:rPr>
      </w:pPr>
      <w:r w:rsidRPr="00B37972">
        <w:rPr>
          <w:rFonts w:ascii="Verdana" w:hAnsi="Verdana"/>
          <w:noProof/>
          <w:sz w:val="20"/>
        </w:rPr>
        <w:t>The authorities also report amendments to the groun</w:t>
      </w:r>
      <w:r w:rsidR="00ED5504" w:rsidRPr="00B37972">
        <w:rPr>
          <w:rFonts w:ascii="Verdana" w:hAnsi="Verdana"/>
          <w:noProof/>
          <w:sz w:val="20"/>
        </w:rPr>
        <w:t>d</w:t>
      </w:r>
      <w:r w:rsidRPr="00B37972">
        <w:rPr>
          <w:rFonts w:ascii="Verdana" w:hAnsi="Verdana"/>
          <w:noProof/>
          <w:sz w:val="20"/>
        </w:rPr>
        <w:t xml:space="preserve">s which </w:t>
      </w:r>
      <w:r w:rsidR="00ED5504" w:rsidRPr="00B37972">
        <w:rPr>
          <w:rFonts w:ascii="Verdana" w:hAnsi="Verdana"/>
          <w:noProof/>
          <w:sz w:val="20"/>
        </w:rPr>
        <w:t xml:space="preserve">may lead to </w:t>
      </w:r>
      <w:r w:rsidRPr="00B37972">
        <w:rPr>
          <w:rFonts w:ascii="Verdana" w:hAnsi="Verdana"/>
          <w:noProof/>
          <w:sz w:val="20"/>
        </w:rPr>
        <w:t>solutions adopted by the prosecutor be</w:t>
      </w:r>
      <w:r w:rsidR="00ED5504" w:rsidRPr="00B37972">
        <w:rPr>
          <w:rFonts w:ascii="Verdana" w:hAnsi="Verdana"/>
          <w:noProof/>
          <w:sz w:val="20"/>
        </w:rPr>
        <w:t>ing</w:t>
      </w:r>
      <w:r w:rsidRPr="00B37972">
        <w:rPr>
          <w:rFonts w:ascii="Verdana" w:hAnsi="Verdana"/>
          <w:noProof/>
          <w:sz w:val="20"/>
        </w:rPr>
        <w:t xml:space="preserve"> invalidated by the hierarchically superior prosecutor. </w:t>
      </w:r>
      <w:r w:rsidR="002461D6" w:rsidRPr="00B37972">
        <w:rPr>
          <w:rFonts w:ascii="Verdana" w:hAnsi="Verdana"/>
          <w:noProof/>
          <w:sz w:val="20"/>
        </w:rPr>
        <w:t>According to the authorities, t</w:t>
      </w:r>
      <w:r w:rsidRPr="00B37972">
        <w:rPr>
          <w:rFonts w:ascii="Verdana" w:hAnsi="Verdana"/>
          <w:noProof/>
          <w:sz w:val="20"/>
        </w:rPr>
        <w:t xml:space="preserve">he </w:t>
      </w:r>
      <w:r w:rsidR="002461D6" w:rsidRPr="00B37972">
        <w:rPr>
          <w:rFonts w:ascii="Verdana" w:hAnsi="Verdana"/>
          <w:noProof/>
          <w:sz w:val="20"/>
        </w:rPr>
        <w:t xml:space="preserve">reason </w:t>
      </w:r>
      <w:r w:rsidRPr="00B37972">
        <w:rPr>
          <w:rFonts w:ascii="Verdana" w:hAnsi="Verdana"/>
          <w:noProof/>
          <w:sz w:val="20"/>
        </w:rPr>
        <w:t xml:space="preserve">for these amendments is the need to align </w:t>
      </w:r>
      <w:r w:rsidR="002461D6" w:rsidRPr="00B37972">
        <w:rPr>
          <w:rFonts w:ascii="Verdana" w:hAnsi="Verdana"/>
          <w:noProof/>
          <w:sz w:val="20"/>
        </w:rPr>
        <w:t>these provisions with Article 304 of the Criminal Procedure Code</w:t>
      </w:r>
      <w:r w:rsidR="00ED5504" w:rsidRPr="00B37972">
        <w:rPr>
          <w:rFonts w:ascii="Verdana" w:hAnsi="Verdana"/>
          <w:noProof/>
          <w:sz w:val="20"/>
        </w:rPr>
        <w:t>, in particular the possibility to invalidate such solutions not only when they appear unlawful, but also if the senior prosecutor considers them ungrounded.</w:t>
      </w:r>
      <w:r w:rsidR="002461D6" w:rsidRPr="00B37972">
        <w:rPr>
          <w:rFonts w:ascii="Verdana" w:hAnsi="Verdana"/>
          <w:noProof/>
          <w:sz w:val="20"/>
        </w:rPr>
        <w:t xml:space="preserve"> </w:t>
      </w:r>
      <w:r w:rsidR="00ED5504" w:rsidRPr="00B37972">
        <w:rPr>
          <w:rFonts w:ascii="Verdana" w:hAnsi="Verdana"/>
          <w:noProof/>
          <w:sz w:val="20"/>
        </w:rPr>
        <w:t xml:space="preserve">As </w:t>
      </w:r>
      <w:r w:rsidR="00482B09" w:rsidRPr="00B37972">
        <w:rPr>
          <w:rFonts w:ascii="Verdana" w:hAnsi="Verdana"/>
          <w:noProof/>
          <w:sz w:val="20"/>
        </w:rPr>
        <w:t xml:space="preserve">a </w:t>
      </w:r>
      <w:r w:rsidR="00ED5504" w:rsidRPr="00B37972">
        <w:rPr>
          <w:rFonts w:ascii="Verdana" w:hAnsi="Verdana"/>
          <w:noProof/>
          <w:sz w:val="20"/>
        </w:rPr>
        <w:t xml:space="preserve">result of </w:t>
      </w:r>
      <w:r w:rsidRPr="00B37972">
        <w:rPr>
          <w:rFonts w:ascii="Verdana" w:hAnsi="Verdana"/>
          <w:noProof/>
          <w:sz w:val="20"/>
        </w:rPr>
        <w:t xml:space="preserve">the amendments to </w:t>
      </w:r>
      <w:r w:rsidR="00C0356D" w:rsidRPr="00B37972">
        <w:rPr>
          <w:rFonts w:ascii="Verdana" w:hAnsi="Verdana"/>
          <w:noProof/>
          <w:sz w:val="20"/>
        </w:rPr>
        <w:t>Law no. 304/2004 on the judicial organi</w:t>
      </w:r>
      <w:r w:rsidRPr="00B37972">
        <w:rPr>
          <w:rFonts w:ascii="Verdana" w:hAnsi="Verdana"/>
          <w:noProof/>
          <w:sz w:val="20"/>
        </w:rPr>
        <w:t>s</w:t>
      </w:r>
      <w:r w:rsidR="00C0356D" w:rsidRPr="00B37972">
        <w:rPr>
          <w:rFonts w:ascii="Verdana" w:hAnsi="Verdana"/>
          <w:noProof/>
          <w:sz w:val="20"/>
        </w:rPr>
        <w:t>ation</w:t>
      </w:r>
      <w:r w:rsidR="00ED5504" w:rsidRPr="00B37972">
        <w:rPr>
          <w:rFonts w:ascii="Verdana" w:hAnsi="Verdana"/>
          <w:noProof/>
          <w:sz w:val="20"/>
        </w:rPr>
        <w:t>,</w:t>
      </w:r>
      <w:r w:rsidR="00C0356D" w:rsidRPr="00B37972">
        <w:rPr>
          <w:rFonts w:ascii="Verdana" w:hAnsi="Verdana"/>
          <w:noProof/>
          <w:sz w:val="20"/>
        </w:rPr>
        <w:t xml:space="preserve"> </w:t>
      </w:r>
      <w:r w:rsidRPr="00B37972">
        <w:rPr>
          <w:rFonts w:ascii="Verdana" w:hAnsi="Verdana"/>
          <w:noProof/>
          <w:sz w:val="20"/>
        </w:rPr>
        <w:t xml:space="preserve">the following wording </w:t>
      </w:r>
      <w:r w:rsidR="00ED5504" w:rsidRPr="00B37972">
        <w:rPr>
          <w:rFonts w:ascii="Verdana" w:hAnsi="Verdana"/>
          <w:noProof/>
          <w:sz w:val="20"/>
        </w:rPr>
        <w:t>has been adopted</w:t>
      </w:r>
      <w:r w:rsidR="00C0356D" w:rsidRPr="00B37972">
        <w:rPr>
          <w:rFonts w:ascii="Verdana" w:hAnsi="Verdana"/>
          <w:noProof/>
          <w:sz w:val="20"/>
        </w:rPr>
        <w:t>:</w:t>
      </w:r>
    </w:p>
    <w:p w:rsidR="00C0356D" w:rsidRPr="00B37972" w:rsidRDefault="00C0356D" w:rsidP="00B37972">
      <w:pPr>
        <w:spacing w:after="0" w:line="240" w:lineRule="auto"/>
        <w:jc w:val="both"/>
        <w:rPr>
          <w:rFonts w:ascii="Verdana" w:hAnsi="Verdana"/>
          <w:noProof/>
          <w:sz w:val="20"/>
        </w:rPr>
      </w:pPr>
    </w:p>
    <w:tbl>
      <w:tblPr>
        <w:tblStyle w:val="Tabelgril"/>
        <w:tblW w:w="0" w:type="auto"/>
        <w:tblInd w:w="108" w:type="dxa"/>
        <w:tblLook w:val="04A0" w:firstRow="1" w:lastRow="0" w:firstColumn="1" w:lastColumn="0" w:noHBand="0" w:noVBand="1"/>
      </w:tblPr>
      <w:tblGrid>
        <w:gridCol w:w="9096"/>
      </w:tblGrid>
      <w:tr w:rsidR="00C0356D" w:rsidRPr="00B37972" w:rsidTr="005049E6">
        <w:tc>
          <w:tcPr>
            <w:tcW w:w="9356" w:type="dxa"/>
          </w:tcPr>
          <w:p w:rsidR="005049E6" w:rsidRPr="00B37972" w:rsidRDefault="005049E6" w:rsidP="00B37972">
            <w:pPr>
              <w:autoSpaceDE w:val="0"/>
              <w:autoSpaceDN w:val="0"/>
              <w:adjustRightInd w:val="0"/>
              <w:spacing w:after="0" w:line="240" w:lineRule="auto"/>
              <w:ind w:left="176" w:right="176"/>
              <w:jc w:val="both"/>
              <w:rPr>
                <w:rFonts w:ascii="Verdana" w:hAnsi="Verdana"/>
                <w:b/>
                <w:bCs/>
                <w:noProof/>
                <w:sz w:val="16"/>
              </w:rPr>
            </w:pPr>
          </w:p>
          <w:p w:rsidR="00C0356D" w:rsidRPr="00B37972" w:rsidRDefault="00C0356D" w:rsidP="00B37972">
            <w:pPr>
              <w:autoSpaceDE w:val="0"/>
              <w:autoSpaceDN w:val="0"/>
              <w:adjustRightInd w:val="0"/>
              <w:spacing w:after="0" w:line="240" w:lineRule="auto"/>
              <w:ind w:left="176" w:right="176"/>
              <w:jc w:val="both"/>
              <w:rPr>
                <w:rFonts w:ascii="Verdana" w:hAnsi="Verdana"/>
                <w:noProof/>
                <w:sz w:val="16"/>
              </w:rPr>
            </w:pPr>
            <w:r w:rsidRPr="00B37972">
              <w:rPr>
                <w:rFonts w:ascii="Verdana" w:hAnsi="Verdana"/>
                <w:b/>
                <w:bCs/>
                <w:noProof/>
                <w:sz w:val="16"/>
              </w:rPr>
              <w:t xml:space="preserve">Article 64 para. (2), (3) and (5): </w:t>
            </w:r>
          </w:p>
          <w:p w:rsidR="00C0356D" w:rsidRPr="00B37972" w:rsidRDefault="00C0356D" w:rsidP="00B37972">
            <w:pPr>
              <w:autoSpaceDE w:val="0"/>
              <w:autoSpaceDN w:val="0"/>
              <w:adjustRightInd w:val="0"/>
              <w:spacing w:after="0" w:line="240" w:lineRule="auto"/>
              <w:ind w:left="176" w:right="176"/>
              <w:jc w:val="both"/>
              <w:rPr>
                <w:rFonts w:ascii="Verdana" w:hAnsi="Verdana"/>
                <w:i/>
                <w:noProof/>
                <w:sz w:val="16"/>
              </w:rPr>
            </w:pPr>
            <w:r w:rsidRPr="00B37972">
              <w:rPr>
                <w:rFonts w:ascii="Verdana" w:hAnsi="Verdana"/>
                <w:i/>
                <w:noProof/>
                <w:sz w:val="16"/>
              </w:rPr>
              <w:t xml:space="preserve">“(2) In the solutions reached, the prosecutor shall be independent, pursuant to law. The prosecutor may appeal against the intervention in the prosecution or decision-making process of the hierarchically superior prosecutor, regardless its nature, at the Section for Prosecutors of the Superior Council of Magistracy, under the procedure for the verification of judges’ and prosecutors’ conduct. </w:t>
            </w:r>
          </w:p>
          <w:p w:rsidR="00C0356D" w:rsidRPr="00B37972" w:rsidRDefault="00C0356D" w:rsidP="00B37972">
            <w:pPr>
              <w:autoSpaceDE w:val="0"/>
              <w:autoSpaceDN w:val="0"/>
              <w:adjustRightInd w:val="0"/>
              <w:spacing w:after="0" w:line="240" w:lineRule="auto"/>
              <w:ind w:left="176" w:right="176"/>
              <w:jc w:val="both"/>
              <w:rPr>
                <w:rFonts w:ascii="Verdana" w:hAnsi="Verdana"/>
                <w:i/>
                <w:noProof/>
                <w:sz w:val="16"/>
              </w:rPr>
            </w:pPr>
            <w:r w:rsidRPr="00B37972">
              <w:rPr>
                <w:rFonts w:ascii="Verdana" w:hAnsi="Verdana"/>
                <w:i/>
                <w:noProof/>
                <w:sz w:val="16"/>
              </w:rPr>
              <w:t xml:space="preserve">(3) The solutions adopted by the prosecutor may be invalidated in a reasoned manner by the hierarchically superior prosecutor, when they are appreciated as unlawful or ungrounded. </w:t>
            </w:r>
          </w:p>
          <w:p w:rsidR="00C0356D" w:rsidRPr="00B37972" w:rsidRDefault="005049E6" w:rsidP="00B37972">
            <w:pPr>
              <w:autoSpaceDE w:val="0"/>
              <w:autoSpaceDN w:val="0"/>
              <w:adjustRightInd w:val="0"/>
              <w:spacing w:after="0" w:line="240" w:lineRule="auto"/>
              <w:ind w:left="176" w:right="176"/>
              <w:jc w:val="both"/>
              <w:rPr>
                <w:rFonts w:ascii="Verdana" w:hAnsi="Verdana"/>
                <w:i/>
                <w:noProof/>
                <w:sz w:val="16"/>
              </w:rPr>
            </w:pPr>
            <w:r w:rsidRPr="00B37972">
              <w:rPr>
                <w:rFonts w:ascii="Verdana" w:hAnsi="Verdana"/>
                <w:i/>
                <w:noProof/>
                <w:sz w:val="16"/>
              </w:rPr>
              <w:t>[…]</w:t>
            </w:r>
          </w:p>
          <w:p w:rsidR="00C0356D" w:rsidRPr="00B37972" w:rsidRDefault="00C0356D" w:rsidP="00B37972">
            <w:pPr>
              <w:autoSpaceDE w:val="0"/>
              <w:autoSpaceDN w:val="0"/>
              <w:adjustRightInd w:val="0"/>
              <w:spacing w:after="0" w:line="240" w:lineRule="auto"/>
              <w:ind w:left="176" w:right="176"/>
              <w:jc w:val="both"/>
              <w:rPr>
                <w:rFonts w:ascii="Verdana" w:hAnsi="Verdana"/>
                <w:i/>
                <w:noProof/>
                <w:sz w:val="16"/>
              </w:rPr>
            </w:pPr>
            <w:r w:rsidRPr="00B37972">
              <w:rPr>
                <w:rFonts w:ascii="Verdana" w:hAnsi="Verdana"/>
                <w:i/>
                <w:noProof/>
                <w:sz w:val="16"/>
              </w:rPr>
              <w:t>(5) The prosecutor may appeal against the measure ordered pursuant to paragraph (4) by the hierarchically superior prosecutor with the Section for Prosecutors of the Superior Council of Magistracy, under the procedure for the verification of prosecutors’ conduct.”</w:t>
            </w:r>
          </w:p>
          <w:p w:rsidR="005049E6" w:rsidRPr="00B37972" w:rsidRDefault="005049E6" w:rsidP="00B37972">
            <w:pPr>
              <w:autoSpaceDE w:val="0"/>
              <w:autoSpaceDN w:val="0"/>
              <w:adjustRightInd w:val="0"/>
              <w:spacing w:after="0" w:line="240" w:lineRule="auto"/>
              <w:ind w:left="176" w:right="176"/>
              <w:jc w:val="both"/>
              <w:rPr>
                <w:rFonts w:ascii="Verdana" w:hAnsi="Verdana"/>
                <w:noProof/>
                <w:sz w:val="16"/>
              </w:rPr>
            </w:pPr>
          </w:p>
        </w:tc>
      </w:tr>
    </w:tbl>
    <w:p w:rsidR="00C0356D" w:rsidRPr="00B37972" w:rsidRDefault="00C0356D" w:rsidP="00B37972">
      <w:pPr>
        <w:autoSpaceDE w:val="0"/>
        <w:autoSpaceDN w:val="0"/>
        <w:adjustRightInd w:val="0"/>
        <w:spacing w:after="0" w:line="240" w:lineRule="auto"/>
        <w:jc w:val="both"/>
        <w:rPr>
          <w:rFonts w:ascii="Verdana" w:hAnsi="Verdana"/>
          <w:noProof/>
          <w:sz w:val="20"/>
        </w:rPr>
      </w:pPr>
    </w:p>
    <w:p w:rsidR="00C0356D" w:rsidRPr="00B37972" w:rsidRDefault="006A786A" w:rsidP="00B37972">
      <w:pPr>
        <w:pStyle w:val="Listparagraf"/>
        <w:numPr>
          <w:ilvl w:val="0"/>
          <w:numId w:val="5"/>
        </w:numPr>
        <w:tabs>
          <w:tab w:val="left" w:pos="567"/>
        </w:tabs>
        <w:suppressAutoHyphens w:val="0"/>
        <w:spacing w:after="0" w:line="240" w:lineRule="auto"/>
        <w:ind w:left="0" w:firstLine="0"/>
        <w:jc w:val="both"/>
        <w:rPr>
          <w:rFonts w:ascii="Verdana" w:hAnsi="Verdana"/>
          <w:noProof/>
          <w:sz w:val="20"/>
        </w:rPr>
      </w:pPr>
      <w:r w:rsidRPr="00B37972">
        <w:rPr>
          <w:rFonts w:ascii="Verdana" w:hAnsi="Verdana"/>
          <w:noProof/>
          <w:sz w:val="20"/>
        </w:rPr>
        <w:t xml:space="preserve">The authorities </w:t>
      </w:r>
      <w:r w:rsidR="00D66B7D" w:rsidRPr="00B37972">
        <w:rPr>
          <w:rFonts w:ascii="Verdana" w:hAnsi="Verdana"/>
          <w:noProof/>
          <w:sz w:val="20"/>
        </w:rPr>
        <w:t xml:space="preserve">refer to </w:t>
      </w:r>
      <w:r w:rsidR="00CC4688">
        <w:rPr>
          <w:rFonts w:ascii="Verdana" w:hAnsi="Verdana"/>
          <w:noProof/>
          <w:sz w:val="20"/>
        </w:rPr>
        <w:t>statistical data</w:t>
      </w:r>
      <w:r w:rsidR="00CC4688" w:rsidRPr="00B37972">
        <w:rPr>
          <w:rFonts w:ascii="Verdana" w:hAnsi="Verdana"/>
          <w:noProof/>
          <w:sz w:val="20"/>
        </w:rPr>
        <w:t xml:space="preserve"> </w:t>
      </w:r>
      <w:r w:rsidR="00CC4688">
        <w:rPr>
          <w:rFonts w:ascii="Verdana" w:hAnsi="Verdana"/>
          <w:noProof/>
          <w:sz w:val="20"/>
        </w:rPr>
        <w:t xml:space="preserve">from </w:t>
      </w:r>
      <w:r w:rsidR="00D66B7D" w:rsidRPr="00B37972">
        <w:rPr>
          <w:rFonts w:ascii="Verdana" w:hAnsi="Verdana"/>
          <w:noProof/>
          <w:sz w:val="20"/>
        </w:rPr>
        <w:t xml:space="preserve">the </w:t>
      </w:r>
      <w:r w:rsidR="00CC4688">
        <w:rPr>
          <w:rFonts w:ascii="Verdana" w:hAnsi="Verdana"/>
          <w:noProof/>
          <w:sz w:val="20"/>
        </w:rPr>
        <w:t xml:space="preserve">President of the </w:t>
      </w:r>
      <w:r w:rsidR="00D66B7D" w:rsidRPr="00B37972">
        <w:rPr>
          <w:rFonts w:ascii="Verdana" w:hAnsi="Verdana"/>
          <w:noProof/>
          <w:sz w:val="20"/>
        </w:rPr>
        <w:t>SCM</w:t>
      </w:r>
      <w:r w:rsidR="004A5B7C" w:rsidRPr="00B37972">
        <w:rPr>
          <w:rFonts w:ascii="Verdana" w:hAnsi="Verdana"/>
          <w:noProof/>
          <w:sz w:val="20"/>
        </w:rPr>
        <w:t>,</w:t>
      </w:r>
      <w:r w:rsidR="00D66B7D" w:rsidRPr="00B37972">
        <w:rPr>
          <w:rFonts w:ascii="Verdana" w:hAnsi="Verdana"/>
          <w:noProof/>
          <w:sz w:val="20"/>
        </w:rPr>
        <w:t xml:space="preserve"> </w:t>
      </w:r>
      <w:r w:rsidR="00036996" w:rsidRPr="00B37972">
        <w:rPr>
          <w:rFonts w:ascii="Verdana" w:hAnsi="Verdana"/>
          <w:noProof/>
          <w:sz w:val="20"/>
        </w:rPr>
        <w:t xml:space="preserve">suggesting that these amendments would not have a negative effect on the operational independence of prosecutors, as other provisions relating to this issue, in particular Articles 64 and 67 of Law no. 304/2004, maintain references to </w:t>
      </w:r>
      <w:r w:rsidR="005D2443" w:rsidRPr="00B37972">
        <w:rPr>
          <w:rFonts w:ascii="Verdana" w:hAnsi="Verdana"/>
          <w:noProof/>
          <w:sz w:val="20"/>
        </w:rPr>
        <w:t xml:space="preserve">the </w:t>
      </w:r>
      <w:r w:rsidR="00036996" w:rsidRPr="00B37972">
        <w:rPr>
          <w:rFonts w:ascii="Verdana" w:hAnsi="Verdana"/>
          <w:noProof/>
          <w:sz w:val="20"/>
        </w:rPr>
        <w:t>independence of prosecutors</w:t>
      </w:r>
      <w:r w:rsidR="004A5B7C" w:rsidRPr="00B37972">
        <w:rPr>
          <w:rFonts w:ascii="Verdana" w:hAnsi="Verdana"/>
          <w:noProof/>
          <w:sz w:val="20"/>
        </w:rPr>
        <w:t xml:space="preserve"> regarding the solutions reached, and provide prosecutors </w:t>
      </w:r>
      <w:r w:rsidR="005D2443" w:rsidRPr="00B37972">
        <w:rPr>
          <w:rFonts w:ascii="Verdana" w:hAnsi="Verdana"/>
          <w:noProof/>
          <w:sz w:val="20"/>
        </w:rPr>
        <w:t xml:space="preserve">with </w:t>
      </w:r>
      <w:r w:rsidR="004A5B7C" w:rsidRPr="00B37972">
        <w:rPr>
          <w:rFonts w:ascii="Verdana" w:hAnsi="Verdana"/>
          <w:noProof/>
          <w:sz w:val="20"/>
        </w:rPr>
        <w:t xml:space="preserve">an opportunity to appeal </w:t>
      </w:r>
      <w:r w:rsidR="005D2443" w:rsidRPr="00B37972">
        <w:rPr>
          <w:rFonts w:ascii="Verdana" w:hAnsi="Verdana"/>
          <w:noProof/>
          <w:sz w:val="20"/>
        </w:rPr>
        <w:t xml:space="preserve">to the Section for Prosecutors of the SCM </w:t>
      </w:r>
      <w:r w:rsidR="004A5B7C" w:rsidRPr="00B37972">
        <w:rPr>
          <w:rFonts w:ascii="Verdana" w:hAnsi="Verdana"/>
          <w:noProof/>
          <w:sz w:val="20"/>
        </w:rPr>
        <w:t>against interference</w:t>
      </w:r>
      <w:r w:rsidR="005D2443" w:rsidRPr="00B37972">
        <w:rPr>
          <w:rFonts w:ascii="Verdana" w:hAnsi="Verdana"/>
          <w:noProof/>
          <w:sz w:val="20"/>
        </w:rPr>
        <w:t xml:space="preserve"> by</w:t>
      </w:r>
      <w:r w:rsidR="004A5B7C" w:rsidRPr="00B37972">
        <w:rPr>
          <w:rFonts w:ascii="Verdana" w:hAnsi="Verdana"/>
          <w:noProof/>
          <w:sz w:val="20"/>
        </w:rPr>
        <w:t xml:space="preserve"> hierarchically superior prosecutor</w:t>
      </w:r>
      <w:r w:rsidR="005D2443" w:rsidRPr="00B37972">
        <w:rPr>
          <w:rFonts w:ascii="Verdana" w:hAnsi="Verdana"/>
          <w:noProof/>
          <w:sz w:val="20"/>
        </w:rPr>
        <w:t>s</w:t>
      </w:r>
      <w:r w:rsidR="00C0356D" w:rsidRPr="00B37972">
        <w:rPr>
          <w:rFonts w:ascii="Verdana" w:hAnsi="Verdana"/>
          <w:noProof/>
          <w:sz w:val="20"/>
        </w:rPr>
        <w:t>.</w:t>
      </w:r>
    </w:p>
    <w:p w:rsidR="00C0356D" w:rsidRPr="00B37972" w:rsidRDefault="00C0356D" w:rsidP="00B37972">
      <w:pPr>
        <w:pStyle w:val="Listparagraf"/>
        <w:tabs>
          <w:tab w:val="left" w:pos="567"/>
        </w:tabs>
        <w:suppressAutoHyphens w:val="0"/>
        <w:spacing w:after="0" w:line="240" w:lineRule="auto"/>
        <w:ind w:left="0"/>
        <w:jc w:val="both"/>
        <w:rPr>
          <w:rFonts w:ascii="Verdana" w:hAnsi="Verdana"/>
          <w:noProof/>
          <w:sz w:val="20"/>
        </w:rPr>
      </w:pPr>
    </w:p>
    <w:p w:rsidR="00D66B7D" w:rsidRPr="00B37972" w:rsidRDefault="006C3549"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u w:val="single"/>
        </w:rPr>
        <w:t>GRECO</w:t>
      </w:r>
      <w:r w:rsidRPr="00B37972">
        <w:rPr>
          <w:rFonts w:ascii="Verdana" w:hAnsi="Verdana"/>
          <w:sz w:val="20"/>
          <w:szCs w:val="24"/>
        </w:rPr>
        <w:t xml:space="preserve"> takes note of the information provided by the authorities. </w:t>
      </w:r>
      <w:r w:rsidR="00A71BC3" w:rsidRPr="00B37972">
        <w:rPr>
          <w:rFonts w:ascii="Verdana" w:hAnsi="Verdana"/>
          <w:sz w:val="20"/>
          <w:szCs w:val="24"/>
        </w:rPr>
        <w:t>It</w:t>
      </w:r>
      <w:r w:rsidR="00F32698" w:rsidRPr="00B37972">
        <w:rPr>
          <w:rFonts w:ascii="Verdana" w:hAnsi="Verdana"/>
          <w:sz w:val="20"/>
          <w:szCs w:val="24"/>
        </w:rPr>
        <w:t xml:space="preserve"> notes that </w:t>
      </w:r>
      <w:r w:rsidR="00CD3432" w:rsidRPr="00B37972">
        <w:rPr>
          <w:rFonts w:ascii="Verdana" w:hAnsi="Verdana"/>
          <w:sz w:val="20"/>
          <w:szCs w:val="24"/>
        </w:rPr>
        <w:t xml:space="preserve">in </w:t>
      </w:r>
      <w:r w:rsidR="00F32698" w:rsidRPr="00B37972">
        <w:rPr>
          <w:rFonts w:ascii="Verdana" w:hAnsi="Verdana"/>
          <w:sz w:val="20"/>
          <w:szCs w:val="24"/>
        </w:rPr>
        <w:t xml:space="preserve">the </w:t>
      </w:r>
      <w:r w:rsidR="00CD3432" w:rsidRPr="00B37972">
        <w:rPr>
          <w:rFonts w:ascii="Verdana" w:hAnsi="Verdana"/>
          <w:sz w:val="20"/>
          <w:szCs w:val="24"/>
        </w:rPr>
        <w:t xml:space="preserve">course of the </w:t>
      </w:r>
      <w:r w:rsidR="00F32698" w:rsidRPr="00B37972">
        <w:rPr>
          <w:rFonts w:ascii="Verdana" w:hAnsi="Verdana"/>
          <w:sz w:val="20"/>
          <w:szCs w:val="24"/>
        </w:rPr>
        <w:t xml:space="preserve">legislative process </w:t>
      </w:r>
      <w:r w:rsidR="00CD3432" w:rsidRPr="00B37972">
        <w:rPr>
          <w:rFonts w:ascii="Verdana" w:hAnsi="Verdana"/>
          <w:sz w:val="20"/>
          <w:szCs w:val="24"/>
        </w:rPr>
        <w:t xml:space="preserve">a significant proportion of the proposed amendments were challenged </w:t>
      </w:r>
      <w:r w:rsidR="00F32698" w:rsidRPr="00B37972">
        <w:rPr>
          <w:rFonts w:ascii="Verdana" w:hAnsi="Verdana"/>
          <w:sz w:val="20"/>
          <w:szCs w:val="24"/>
        </w:rPr>
        <w:t xml:space="preserve">before the Constitutional Court, with a number of </w:t>
      </w:r>
      <w:r w:rsidR="00CD3432" w:rsidRPr="00B37972">
        <w:rPr>
          <w:rFonts w:ascii="Verdana" w:hAnsi="Verdana"/>
          <w:sz w:val="20"/>
          <w:szCs w:val="24"/>
        </w:rPr>
        <w:t xml:space="preserve">them </w:t>
      </w:r>
      <w:r w:rsidR="00A71BC3" w:rsidRPr="00B37972">
        <w:rPr>
          <w:rFonts w:ascii="Verdana" w:hAnsi="Verdana"/>
          <w:sz w:val="20"/>
          <w:szCs w:val="24"/>
        </w:rPr>
        <w:t xml:space="preserve">being </w:t>
      </w:r>
      <w:r w:rsidR="00F32698" w:rsidRPr="00B37972">
        <w:rPr>
          <w:rFonts w:ascii="Verdana" w:hAnsi="Verdana"/>
          <w:sz w:val="20"/>
          <w:szCs w:val="24"/>
        </w:rPr>
        <w:t>declared unconstitutional. Nonetheless, the adopted amendments still contain provisions weakening the previous</w:t>
      </w:r>
      <w:r w:rsidR="00CD3432" w:rsidRPr="00B37972">
        <w:rPr>
          <w:rFonts w:ascii="Verdana" w:hAnsi="Verdana"/>
          <w:sz w:val="20"/>
          <w:szCs w:val="24"/>
        </w:rPr>
        <w:t>ly</w:t>
      </w:r>
      <w:r w:rsidR="00F32698" w:rsidRPr="00B37972">
        <w:rPr>
          <w:rFonts w:ascii="Verdana" w:hAnsi="Verdana"/>
          <w:sz w:val="20"/>
          <w:szCs w:val="24"/>
        </w:rPr>
        <w:t xml:space="preserve"> </w:t>
      </w:r>
      <w:r w:rsidR="00CD3432" w:rsidRPr="00B37972">
        <w:rPr>
          <w:rFonts w:ascii="Verdana" w:hAnsi="Verdana"/>
          <w:sz w:val="20"/>
          <w:szCs w:val="24"/>
        </w:rPr>
        <w:t xml:space="preserve">existing </w:t>
      </w:r>
      <w:r w:rsidR="00A465B8" w:rsidRPr="00B37972">
        <w:rPr>
          <w:rFonts w:ascii="Verdana" w:hAnsi="Verdana"/>
          <w:sz w:val="20"/>
          <w:szCs w:val="24"/>
        </w:rPr>
        <w:t>level</w:t>
      </w:r>
      <w:r w:rsidR="00CD3432" w:rsidRPr="00B37972">
        <w:rPr>
          <w:rFonts w:ascii="Verdana" w:hAnsi="Verdana"/>
          <w:sz w:val="20"/>
          <w:szCs w:val="24"/>
        </w:rPr>
        <w:t xml:space="preserve"> of </w:t>
      </w:r>
      <w:r w:rsidR="00F32698" w:rsidRPr="00B37972">
        <w:rPr>
          <w:rFonts w:ascii="Verdana" w:hAnsi="Verdana"/>
          <w:sz w:val="20"/>
          <w:szCs w:val="24"/>
        </w:rPr>
        <w:t xml:space="preserve">operational independence of prosecutors. </w:t>
      </w:r>
      <w:r w:rsidRPr="00B37972">
        <w:rPr>
          <w:rFonts w:ascii="Verdana" w:hAnsi="Verdana"/>
          <w:sz w:val="20"/>
          <w:szCs w:val="24"/>
        </w:rPr>
        <w:t xml:space="preserve">Regarding the first part of this recommendation, </w:t>
      </w:r>
      <w:r w:rsidR="003A10A8" w:rsidRPr="00B37972">
        <w:rPr>
          <w:rFonts w:ascii="Verdana" w:hAnsi="Verdana"/>
          <w:sz w:val="20"/>
          <w:szCs w:val="24"/>
        </w:rPr>
        <w:t xml:space="preserve">GRECO </w:t>
      </w:r>
      <w:r w:rsidR="00335BF9" w:rsidRPr="00B37972">
        <w:rPr>
          <w:rFonts w:ascii="Verdana" w:hAnsi="Verdana"/>
          <w:sz w:val="20"/>
          <w:szCs w:val="24"/>
        </w:rPr>
        <w:t xml:space="preserve">notes that the previous wording of Article 3, paragraph (1) of the Law no. 303/2004 expressly </w:t>
      </w:r>
      <w:r w:rsidR="004A5B7C" w:rsidRPr="00B37972">
        <w:rPr>
          <w:rFonts w:ascii="Verdana" w:hAnsi="Verdana"/>
          <w:sz w:val="20"/>
          <w:szCs w:val="24"/>
        </w:rPr>
        <w:t xml:space="preserve">stated that </w:t>
      </w:r>
      <w:r w:rsidR="00335BF9" w:rsidRPr="00B37972">
        <w:rPr>
          <w:rFonts w:ascii="Verdana" w:hAnsi="Verdana"/>
          <w:sz w:val="20"/>
          <w:szCs w:val="24"/>
        </w:rPr>
        <w:t xml:space="preserve">prosecutors enjoy stability and </w:t>
      </w:r>
      <w:r w:rsidR="004A5B7C" w:rsidRPr="00B37972">
        <w:rPr>
          <w:rFonts w:ascii="Verdana" w:hAnsi="Verdana"/>
          <w:sz w:val="20"/>
          <w:szCs w:val="24"/>
        </w:rPr>
        <w:t xml:space="preserve">are </w:t>
      </w:r>
      <w:r w:rsidR="00335BF9" w:rsidRPr="00B37972">
        <w:rPr>
          <w:rFonts w:ascii="Verdana" w:hAnsi="Verdana"/>
          <w:sz w:val="20"/>
          <w:szCs w:val="24"/>
        </w:rPr>
        <w:t xml:space="preserve">independent, according to the law. The amended version of </w:t>
      </w:r>
      <w:r w:rsidR="004A5B7C" w:rsidRPr="00B37972">
        <w:rPr>
          <w:rFonts w:ascii="Verdana" w:hAnsi="Verdana"/>
          <w:sz w:val="20"/>
          <w:szCs w:val="24"/>
        </w:rPr>
        <w:t xml:space="preserve">the </w:t>
      </w:r>
      <w:r w:rsidR="00335BF9" w:rsidRPr="00B37972">
        <w:rPr>
          <w:rFonts w:ascii="Verdana" w:hAnsi="Verdana"/>
          <w:sz w:val="20"/>
          <w:szCs w:val="24"/>
        </w:rPr>
        <w:t xml:space="preserve">Law </w:t>
      </w:r>
      <w:r w:rsidR="004A5B7C" w:rsidRPr="00B37972">
        <w:rPr>
          <w:rFonts w:ascii="Verdana" w:hAnsi="Verdana"/>
          <w:sz w:val="20"/>
          <w:szCs w:val="24"/>
        </w:rPr>
        <w:t>no.</w:t>
      </w:r>
      <w:r w:rsidR="00320701" w:rsidRPr="00B37972">
        <w:rPr>
          <w:rFonts w:ascii="Verdana" w:hAnsi="Verdana"/>
          <w:sz w:val="20"/>
          <w:szCs w:val="24"/>
        </w:rPr>
        <w:t xml:space="preserve"> </w:t>
      </w:r>
      <w:r w:rsidR="004A5B7C" w:rsidRPr="00B37972">
        <w:rPr>
          <w:rFonts w:ascii="Verdana" w:hAnsi="Verdana"/>
          <w:sz w:val="20"/>
          <w:szCs w:val="24"/>
        </w:rPr>
        <w:t xml:space="preserve">303/2004 </w:t>
      </w:r>
      <w:r w:rsidR="00335BF9" w:rsidRPr="00B37972">
        <w:rPr>
          <w:rFonts w:ascii="Verdana" w:hAnsi="Verdana"/>
          <w:sz w:val="20"/>
          <w:szCs w:val="24"/>
        </w:rPr>
        <w:t xml:space="preserve">reduces the prosecutorial independence </w:t>
      </w:r>
      <w:r w:rsidR="001D0B20" w:rsidRPr="00B37972">
        <w:rPr>
          <w:rFonts w:ascii="Verdana" w:hAnsi="Verdana"/>
          <w:sz w:val="20"/>
          <w:szCs w:val="24"/>
        </w:rPr>
        <w:t xml:space="preserve">to </w:t>
      </w:r>
      <w:r w:rsidR="00335BF9" w:rsidRPr="00B37972">
        <w:rPr>
          <w:rFonts w:ascii="Verdana" w:hAnsi="Verdana"/>
          <w:sz w:val="20"/>
          <w:szCs w:val="24"/>
        </w:rPr>
        <w:t xml:space="preserve">the settlement of solutions. In this respect, GRECO </w:t>
      </w:r>
      <w:r w:rsidR="003A10A8" w:rsidRPr="00B37972">
        <w:rPr>
          <w:rFonts w:ascii="Verdana" w:hAnsi="Verdana"/>
          <w:sz w:val="20"/>
          <w:szCs w:val="24"/>
        </w:rPr>
        <w:t xml:space="preserve">refers to the observations of the Venice Commission, reflected in its </w:t>
      </w:r>
      <w:r w:rsidR="004A5B7C" w:rsidRPr="00B37972">
        <w:rPr>
          <w:rFonts w:ascii="Verdana" w:hAnsi="Verdana"/>
          <w:sz w:val="20"/>
          <w:szCs w:val="24"/>
        </w:rPr>
        <w:t xml:space="preserve">latest </w:t>
      </w:r>
      <w:r w:rsidR="003A10A8" w:rsidRPr="00B37972">
        <w:rPr>
          <w:rFonts w:ascii="Verdana" w:hAnsi="Verdana"/>
          <w:sz w:val="20"/>
          <w:szCs w:val="24"/>
        </w:rPr>
        <w:t>Opinion on the proposed amendments to the three justice laws.</w:t>
      </w:r>
      <w:r w:rsidR="003A10A8" w:rsidRPr="00B37972">
        <w:rPr>
          <w:rFonts w:ascii="Verdana" w:hAnsi="Verdana"/>
          <w:sz w:val="20"/>
          <w:szCs w:val="24"/>
          <w:vertAlign w:val="superscript"/>
        </w:rPr>
        <w:footnoteReference w:id="19"/>
      </w:r>
      <w:r w:rsidR="003A10A8" w:rsidRPr="00B37972">
        <w:rPr>
          <w:rFonts w:ascii="Verdana" w:hAnsi="Verdana"/>
          <w:sz w:val="20"/>
          <w:szCs w:val="24"/>
        </w:rPr>
        <w:t xml:space="preserve"> In particular, the </w:t>
      </w:r>
      <w:r w:rsidR="00320701" w:rsidRPr="00B37972">
        <w:rPr>
          <w:rFonts w:ascii="Verdana" w:hAnsi="Verdana"/>
          <w:sz w:val="20"/>
          <w:szCs w:val="24"/>
        </w:rPr>
        <w:t xml:space="preserve">Venice </w:t>
      </w:r>
      <w:r w:rsidR="003A10A8" w:rsidRPr="00B37972">
        <w:rPr>
          <w:rFonts w:ascii="Verdana" w:hAnsi="Verdana"/>
          <w:sz w:val="20"/>
          <w:szCs w:val="24"/>
        </w:rPr>
        <w:t xml:space="preserve">Commission pointed out that while the amendment of the new Article 3 (1) of Law no. 303/2004 reflected the text of the current Constitution, it indicated a general tendency to reduce the independence of prosecutors, contrary to the Venice Commission’s recommendations to Romania. </w:t>
      </w:r>
      <w:r w:rsidR="004A5B7C" w:rsidRPr="00B37972">
        <w:rPr>
          <w:rFonts w:ascii="Verdana" w:hAnsi="Verdana"/>
          <w:sz w:val="20"/>
          <w:szCs w:val="24"/>
        </w:rPr>
        <w:t xml:space="preserve">In addition, the authorities’ reasoning that the amendments concerning the independence of prosecutors were enacted </w:t>
      </w:r>
      <w:r w:rsidR="004A5B7C" w:rsidRPr="00B37972">
        <w:rPr>
          <w:rFonts w:ascii="Verdana" w:hAnsi="Verdana"/>
          <w:i/>
          <w:sz w:val="20"/>
          <w:szCs w:val="24"/>
        </w:rPr>
        <w:t>inter alia</w:t>
      </w:r>
      <w:r w:rsidR="004A5B7C" w:rsidRPr="00B37972">
        <w:rPr>
          <w:rFonts w:ascii="Verdana" w:hAnsi="Verdana"/>
          <w:sz w:val="20"/>
          <w:szCs w:val="24"/>
        </w:rPr>
        <w:t xml:space="preserve"> for a closer conformity with the Venice Commission’s position on this issue was considered by the Venice Commission as a misinterpretation of its texts.</w:t>
      </w:r>
    </w:p>
    <w:p w:rsidR="00D66B7D" w:rsidRPr="00B37972" w:rsidRDefault="00D66B7D" w:rsidP="00B37972">
      <w:pPr>
        <w:pStyle w:val="Listparagraf"/>
        <w:tabs>
          <w:tab w:val="left" w:pos="567"/>
        </w:tabs>
        <w:suppressAutoHyphens w:val="0"/>
        <w:spacing w:after="0" w:line="240" w:lineRule="auto"/>
        <w:ind w:left="0"/>
        <w:jc w:val="both"/>
        <w:rPr>
          <w:rFonts w:ascii="Verdana" w:hAnsi="Verdana"/>
          <w:sz w:val="20"/>
          <w:szCs w:val="24"/>
        </w:rPr>
      </w:pPr>
    </w:p>
    <w:p w:rsidR="005E6055" w:rsidRPr="00B37972" w:rsidRDefault="005E6055"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rPr>
        <w:t xml:space="preserve">As regards the second part of this recommendation, GRECO already alerted the Romanian authorities in its Ad </w:t>
      </w:r>
      <w:r w:rsidR="000D5F3C" w:rsidRPr="00B37972">
        <w:rPr>
          <w:rFonts w:ascii="Verdana" w:hAnsi="Verdana"/>
          <w:sz w:val="20"/>
          <w:szCs w:val="24"/>
        </w:rPr>
        <w:t>h</w:t>
      </w:r>
      <w:r w:rsidRPr="00B37972">
        <w:rPr>
          <w:rFonts w:ascii="Verdana" w:hAnsi="Verdana"/>
          <w:sz w:val="20"/>
          <w:szCs w:val="24"/>
        </w:rPr>
        <w:t xml:space="preserve">oc Report to the fact that allowing hierarchically superior </w:t>
      </w:r>
      <w:r w:rsidRPr="00B37972">
        <w:rPr>
          <w:rFonts w:ascii="Verdana" w:hAnsi="Verdana"/>
          <w:sz w:val="20"/>
          <w:szCs w:val="24"/>
        </w:rPr>
        <w:lastRenderedPageBreak/>
        <w:t>prosecutors to invalidate prosecutorial solutions on the basis of them being ungrounded (in addition to unlawful), in conjunction with the reduced general independence of prosecutors, risks to have consequences on the</w:t>
      </w:r>
      <w:r w:rsidR="00482B09" w:rsidRPr="00B37972">
        <w:rPr>
          <w:rFonts w:ascii="Verdana" w:hAnsi="Verdana"/>
          <w:sz w:val="20"/>
          <w:szCs w:val="24"/>
        </w:rPr>
        <w:t>ir</w:t>
      </w:r>
      <w:r w:rsidRPr="00B37972">
        <w:rPr>
          <w:rFonts w:ascii="Verdana" w:hAnsi="Verdana"/>
          <w:sz w:val="20"/>
          <w:szCs w:val="24"/>
        </w:rPr>
        <w:t xml:space="preserve"> </w:t>
      </w:r>
      <w:r w:rsidR="00482B09" w:rsidRPr="00B37972">
        <w:rPr>
          <w:rFonts w:ascii="Verdana" w:hAnsi="Verdana"/>
          <w:sz w:val="20"/>
          <w:szCs w:val="24"/>
        </w:rPr>
        <w:t xml:space="preserve">possibilities to investigate/prosecute offences (including </w:t>
      </w:r>
      <w:r w:rsidRPr="00B37972">
        <w:rPr>
          <w:rFonts w:ascii="Verdana" w:hAnsi="Verdana"/>
          <w:sz w:val="20"/>
          <w:szCs w:val="24"/>
        </w:rPr>
        <w:t>corruption</w:t>
      </w:r>
      <w:r w:rsidR="00482B09" w:rsidRPr="00B37972">
        <w:rPr>
          <w:rFonts w:ascii="Verdana" w:hAnsi="Verdana"/>
          <w:sz w:val="20"/>
          <w:szCs w:val="24"/>
        </w:rPr>
        <w:t>) without undue interference</w:t>
      </w:r>
      <w:r w:rsidRPr="00B37972">
        <w:rPr>
          <w:rFonts w:ascii="Verdana" w:hAnsi="Verdana"/>
          <w:sz w:val="20"/>
          <w:szCs w:val="24"/>
        </w:rPr>
        <w:t xml:space="preserve">. In this respect, GRECO </w:t>
      </w:r>
      <w:r w:rsidR="00A465B8" w:rsidRPr="00B37972">
        <w:rPr>
          <w:rFonts w:ascii="Verdana" w:hAnsi="Verdana"/>
          <w:sz w:val="20"/>
          <w:szCs w:val="24"/>
        </w:rPr>
        <w:t xml:space="preserve">again </w:t>
      </w:r>
      <w:r w:rsidRPr="00B37972">
        <w:rPr>
          <w:rFonts w:ascii="Verdana" w:hAnsi="Verdana"/>
          <w:sz w:val="20"/>
          <w:szCs w:val="24"/>
        </w:rPr>
        <w:t xml:space="preserve">refers to the observations of the Venice Commission from its latest Opinion </w:t>
      </w:r>
      <w:r w:rsidR="005502F0" w:rsidRPr="00B37972">
        <w:rPr>
          <w:rFonts w:ascii="Verdana" w:hAnsi="Verdana"/>
          <w:sz w:val="20"/>
          <w:szCs w:val="24"/>
        </w:rPr>
        <w:t xml:space="preserve">regarding the amendments to </w:t>
      </w:r>
      <w:r w:rsidRPr="00B37972">
        <w:rPr>
          <w:rFonts w:ascii="Verdana" w:hAnsi="Verdana"/>
          <w:sz w:val="20"/>
          <w:szCs w:val="24"/>
        </w:rPr>
        <w:t>the three justice laws, which state</w:t>
      </w:r>
      <w:r w:rsidR="005502F0" w:rsidRPr="00B37972">
        <w:rPr>
          <w:rFonts w:ascii="Verdana" w:hAnsi="Verdana"/>
          <w:sz w:val="20"/>
          <w:szCs w:val="24"/>
        </w:rPr>
        <w:t>s</w:t>
      </w:r>
      <w:r w:rsidRPr="00B37972">
        <w:rPr>
          <w:rFonts w:ascii="Verdana" w:hAnsi="Verdana"/>
          <w:sz w:val="20"/>
          <w:szCs w:val="24"/>
        </w:rPr>
        <w:t xml:space="preserve"> that </w:t>
      </w:r>
      <w:r w:rsidRPr="00B37972">
        <w:rPr>
          <w:rFonts w:ascii="Verdana" w:hAnsi="Verdana"/>
          <w:i/>
          <w:sz w:val="20"/>
          <w:szCs w:val="24"/>
        </w:rPr>
        <w:t xml:space="preserve">“the addition of the word “ungrounded” in </w:t>
      </w:r>
      <w:r w:rsidR="00E3650B" w:rsidRPr="00B37972">
        <w:rPr>
          <w:rFonts w:ascii="Verdana" w:hAnsi="Verdana"/>
          <w:i/>
          <w:sz w:val="20"/>
          <w:szCs w:val="24"/>
        </w:rPr>
        <w:t>A</w:t>
      </w:r>
      <w:r w:rsidRPr="00B37972">
        <w:rPr>
          <w:rFonts w:ascii="Verdana" w:hAnsi="Verdana"/>
          <w:i/>
          <w:sz w:val="20"/>
          <w:szCs w:val="24"/>
        </w:rPr>
        <w:t>rticle 64 of the law on judicial organisation as a reason for the higher prosecutor, in addition to un</w:t>
      </w:r>
      <w:r w:rsidRPr="00B37972">
        <w:rPr>
          <w:rFonts w:ascii="Verdana" w:hAnsi="Verdana"/>
          <w:i/>
          <w:iCs/>
          <w:sz w:val="20"/>
          <w:szCs w:val="24"/>
        </w:rPr>
        <w:t>lawfulness</w:t>
      </w:r>
      <w:r w:rsidRPr="00B37972">
        <w:rPr>
          <w:rFonts w:ascii="Verdana" w:hAnsi="Verdana"/>
          <w:i/>
          <w:sz w:val="20"/>
          <w:szCs w:val="24"/>
        </w:rPr>
        <w:t>, for invalidating a prosecutor’s solution, has raised fears that the increased role of the Ministry of Justice - who is politically appointed - in the appointment and dismissal procedures, may, in conjunction, give way to an increase of the political influence on criminal investigations. Both the Prosecutor General and the Head of DNA, whose position would appear to be strengthened by this power, considered that it will be difficult for them to resist pressure from politicians to interfere in individual cases, not least cases of corruption.”</w:t>
      </w:r>
    </w:p>
    <w:p w:rsidR="005E6055" w:rsidRPr="00B37972" w:rsidRDefault="005E6055" w:rsidP="00B37972">
      <w:pPr>
        <w:pStyle w:val="Listparagraf"/>
        <w:tabs>
          <w:tab w:val="left" w:pos="567"/>
        </w:tabs>
        <w:suppressAutoHyphens w:val="0"/>
        <w:spacing w:after="0" w:line="240" w:lineRule="auto"/>
        <w:ind w:left="0"/>
        <w:jc w:val="both"/>
        <w:rPr>
          <w:rFonts w:ascii="Verdana" w:hAnsi="Verdana"/>
          <w:sz w:val="20"/>
          <w:szCs w:val="24"/>
        </w:rPr>
      </w:pPr>
    </w:p>
    <w:p w:rsidR="00482B09" w:rsidRPr="00B37972" w:rsidRDefault="004A5B7C"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rPr>
        <w:t>E</w:t>
      </w:r>
      <w:r w:rsidR="00891785" w:rsidRPr="00B37972">
        <w:rPr>
          <w:rFonts w:ascii="Verdana" w:hAnsi="Verdana"/>
          <w:sz w:val="20"/>
          <w:szCs w:val="24"/>
        </w:rPr>
        <w:t xml:space="preserve">ven though the </w:t>
      </w:r>
      <w:r w:rsidR="00D66B7D" w:rsidRPr="00B37972">
        <w:rPr>
          <w:rFonts w:ascii="Verdana" w:hAnsi="Verdana"/>
          <w:sz w:val="20"/>
          <w:szCs w:val="24"/>
        </w:rPr>
        <w:t xml:space="preserve">authorities state that the amendments </w:t>
      </w:r>
      <w:r w:rsidR="005E6055" w:rsidRPr="00B37972">
        <w:rPr>
          <w:rFonts w:ascii="Verdana" w:hAnsi="Verdana"/>
          <w:sz w:val="20"/>
          <w:szCs w:val="24"/>
        </w:rPr>
        <w:t>d</w:t>
      </w:r>
      <w:r w:rsidR="00D66B7D" w:rsidRPr="00B37972">
        <w:rPr>
          <w:rFonts w:ascii="Verdana" w:hAnsi="Verdana"/>
          <w:sz w:val="20"/>
          <w:szCs w:val="24"/>
        </w:rPr>
        <w:t xml:space="preserve">o not aim </w:t>
      </w:r>
      <w:r w:rsidR="00400777" w:rsidRPr="00B37972">
        <w:rPr>
          <w:rFonts w:ascii="Verdana" w:hAnsi="Verdana"/>
          <w:sz w:val="20"/>
          <w:szCs w:val="24"/>
        </w:rPr>
        <w:t xml:space="preserve">at </w:t>
      </w:r>
      <w:r w:rsidR="00D66B7D" w:rsidRPr="00B37972">
        <w:rPr>
          <w:rFonts w:ascii="Verdana" w:hAnsi="Verdana"/>
          <w:sz w:val="20"/>
          <w:szCs w:val="24"/>
        </w:rPr>
        <w:t xml:space="preserve">limiting the independence of prosecutors, </w:t>
      </w:r>
      <w:r w:rsidR="00891785" w:rsidRPr="00B37972">
        <w:rPr>
          <w:rFonts w:ascii="Verdana" w:hAnsi="Verdana"/>
          <w:sz w:val="20"/>
          <w:szCs w:val="24"/>
        </w:rPr>
        <w:t xml:space="preserve">the </w:t>
      </w:r>
      <w:r w:rsidR="009253E5" w:rsidRPr="00B37972">
        <w:rPr>
          <w:rFonts w:ascii="Verdana" w:hAnsi="Verdana"/>
          <w:sz w:val="20"/>
          <w:szCs w:val="24"/>
        </w:rPr>
        <w:t xml:space="preserve">amended provisions of </w:t>
      </w:r>
      <w:r w:rsidR="00891785" w:rsidRPr="00B37972">
        <w:rPr>
          <w:rFonts w:ascii="Verdana" w:hAnsi="Verdana"/>
          <w:sz w:val="20"/>
          <w:szCs w:val="24"/>
        </w:rPr>
        <w:t>Law no. 303/2004</w:t>
      </w:r>
      <w:r w:rsidRPr="00B37972">
        <w:rPr>
          <w:rFonts w:ascii="Verdana" w:hAnsi="Verdana"/>
          <w:sz w:val="20"/>
          <w:szCs w:val="24"/>
        </w:rPr>
        <w:t xml:space="preserve"> </w:t>
      </w:r>
      <w:r w:rsidR="005502F0" w:rsidRPr="00B37972">
        <w:rPr>
          <w:rFonts w:ascii="Verdana" w:hAnsi="Verdana"/>
          <w:sz w:val="20"/>
          <w:szCs w:val="24"/>
        </w:rPr>
        <w:t>effect</w:t>
      </w:r>
      <w:r w:rsidR="00320701" w:rsidRPr="00B37972">
        <w:rPr>
          <w:rFonts w:ascii="Verdana" w:hAnsi="Verdana"/>
          <w:sz w:val="20"/>
          <w:szCs w:val="24"/>
        </w:rPr>
        <w:t xml:space="preserve">ively </w:t>
      </w:r>
      <w:r w:rsidR="00400777" w:rsidRPr="00B37972">
        <w:rPr>
          <w:rFonts w:ascii="Verdana" w:hAnsi="Verdana"/>
          <w:sz w:val="20"/>
          <w:szCs w:val="24"/>
        </w:rPr>
        <w:t>reduc</w:t>
      </w:r>
      <w:r w:rsidR="00320701" w:rsidRPr="00B37972">
        <w:rPr>
          <w:rFonts w:ascii="Verdana" w:hAnsi="Verdana"/>
          <w:sz w:val="20"/>
          <w:szCs w:val="24"/>
        </w:rPr>
        <w:t>e</w:t>
      </w:r>
      <w:r w:rsidRPr="00B37972">
        <w:rPr>
          <w:rFonts w:ascii="Verdana" w:hAnsi="Verdana"/>
          <w:sz w:val="20"/>
          <w:szCs w:val="24"/>
        </w:rPr>
        <w:t xml:space="preserve"> the </w:t>
      </w:r>
      <w:r w:rsidR="005E6055" w:rsidRPr="00B37972">
        <w:rPr>
          <w:rFonts w:ascii="Verdana" w:hAnsi="Verdana"/>
          <w:sz w:val="20"/>
          <w:szCs w:val="24"/>
        </w:rPr>
        <w:t xml:space="preserve">extent of </w:t>
      </w:r>
      <w:r w:rsidR="009253E5" w:rsidRPr="00B37972">
        <w:rPr>
          <w:rFonts w:ascii="Verdana" w:hAnsi="Verdana"/>
          <w:sz w:val="20"/>
          <w:szCs w:val="24"/>
        </w:rPr>
        <w:t xml:space="preserve">legal </w:t>
      </w:r>
      <w:r w:rsidR="005E6055" w:rsidRPr="00B37972">
        <w:rPr>
          <w:rFonts w:ascii="Verdana" w:hAnsi="Verdana"/>
          <w:sz w:val="20"/>
          <w:szCs w:val="24"/>
        </w:rPr>
        <w:t xml:space="preserve">guarantees of </w:t>
      </w:r>
      <w:r w:rsidRPr="00B37972">
        <w:rPr>
          <w:rFonts w:ascii="Verdana" w:hAnsi="Verdana"/>
          <w:sz w:val="20"/>
          <w:szCs w:val="24"/>
        </w:rPr>
        <w:t>prosecutors’ independence</w:t>
      </w:r>
      <w:r w:rsidR="00400777" w:rsidRPr="00B37972">
        <w:rPr>
          <w:rFonts w:ascii="Verdana" w:hAnsi="Verdana"/>
          <w:sz w:val="20"/>
          <w:szCs w:val="24"/>
        </w:rPr>
        <w:t>,</w:t>
      </w:r>
      <w:r w:rsidRPr="00B37972">
        <w:rPr>
          <w:rFonts w:ascii="Verdana" w:hAnsi="Verdana"/>
          <w:sz w:val="20"/>
          <w:szCs w:val="24"/>
        </w:rPr>
        <w:t xml:space="preserve"> compar</w:t>
      </w:r>
      <w:r w:rsidR="005E6055" w:rsidRPr="00B37972">
        <w:rPr>
          <w:rFonts w:ascii="Verdana" w:hAnsi="Verdana"/>
          <w:sz w:val="20"/>
          <w:szCs w:val="24"/>
        </w:rPr>
        <w:t>ed to</w:t>
      </w:r>
      <w:r w:rsidRPr="00B37972">
        <w:rPr>
          <w:rFonts w:ascii="Verdana" w:hAnsi="Verdana"/>
          <w:sz w:val="20"/>
          <w:szCs w:val="24"/>
        </w:rPr>
        <w:t xml:space="preserve"> </w:t>
      </w:r>
      <w:r w:rsidR="005502F0" w:rsidRPr="00B37972">
        <w:rPr>
          <w:rFonts w:ascii="Verdana" w:hAnsi="Verdana"/>
          <w:sz w:val="20"/>
          <w:szCs w:val="24"/>
        </w:rPr>
        <w:t xml:space="preserve">those </w:t>
      </w:r>
      <w:r w:rsidRPr="00B37972">
        <w:rPr>
          <w:rFonts w:ascii="Verdana" w:hAnsi="Verdana"/>
          <w:sz w:val="20"/>
          <w:szCs w:val="24"/>
        </w:rPr>
        <w:t xml:space="preserve">provided by the previous </w:t>
      </w:r>
      <w:r w:rsidR="005E6055" w:rsidRPr="00B37972">
        <w:rPr>
          <w:rFonts w:ascii="Verdana" w:hAnsi="Verdana"/>
          <w:sz w:val="20"/>
          <w:szCs w:val="24"/>
        </w:rPr>
        <w:t xml:space="preserve">wording </w:t>
      </w:r>
      <w:r w:rsidRPr="00B37972">
        <w:rPr>
          <w:rFonts w:ascii="Verdana" w:hAnsi="Verdana"/>
          <w:sz w:val="20"/>
          <w:szCs w:val="24"/>
        </w:rPr>
        <w:t xml:space="preserve">of </w:t>
      </w:r>
      <w:r w:rsidR="00482B09" w:rsidRPr="00B37972">
        <w:rPr>
          <w:rFonts w:ascii="Verdana" w:hAnsi="Verdana"/>
          <w:sz w:val="20"/>
          <w:szCs w:val="24"/>
        </w:rPr>
        <w:t xml:space="preserve">this </w:t>
      </w:r>
      <w:r w:rsidRPr="00B37972">
        <w:rPr>
          <w:rFonts w:ascii="Verdana" w:hAnsi="Verdana"/>
          <w:sz w:val="20"/>
          <w:szCs w:val="24"/>
        </w:rPr>
        <w:t>Law.</w:t>
      </w:r>
      <w:r w:rsidR="005E6055" w:rsidRPr="00B37972">
        <w:rPr>
          <w:rFonts w:ascii="Verdana" w:hAnsi="Verdana"/>
          <w:sz w:val="20"/>
          <w:szCs w:val="24"/>
        </w:rPr>
        <w:t xml:space="preserve"> In GRECO’s opinion, the enacted amendments</w:t>
      </w:r>
      <w:r w:rsidR="00CC4688">
        <w:rPr>
          <w:rFonts w:ascii="Verdana" w:hAnsi="Verdana"/>
          <w:sz w:val="20"/>
          <w:szCs w:val="24"/>
        </w:rPr>
        <w:t xml:space="preserve"> and the recent jurisprudence of the Constitutional Court</w:t>
      </w:r>
      <w:r w:rsidR="005E6055" w:rsidRPr="00B37972">
        <w:rPr>
          <w:rFonts w:ascii="Verdana" w:hAnsi="Verdana"/>
          <w:sz w:val="20"/>
          <w:szCs w:val="24"/>
        </w:rPr>
        <w:t>,</w:t>
      </w:r>
      <w:r w:rsidR="00F929A3">
        <w:rPr>
          <w:rStyle w:val="Referinnotdesubsol"/>
          <w:rFonts w:ascii="Verdana" w:hAnsi="Verdana"/>
          <w:sz w:val="20"/>
          <w:szCs w:val="24"/>
        </w:rPr>
        <w:footnoteReference w:id="20"/>
      </w:r>
      <w:r w:rsidR="005E6055" w:rsidRPr="00B37972">
        <w:rPr>
          <w:rFonts w:ascii="Verdana" w:hAnsi="Verdana"/>
          <w:sz w:val="20"/>
          <w:szCs w:val="24"/>
        </w:rPr>
        <w:t xml:space="preserve"> seen in </w:t>
      </w:r>
      <w:r w:rsidR="00A465B8" w:rsidRPr="00B37972">
        <w:rPr>
          <w:rFonts w:ascii="Verdana" w:hAnsi="Verdana"/>
          <w:sz w:val="20"/>
          <w:szCs w:val="24"/>
        </w:rPr>
        <w:t xml:space="preserve">a </w:t>
      </w:r>
      <w:r w:rsidR="005E6055" w:rsidRPr="00B37972">
        <w:rPr>
          <w:rFonts w:ascii="Verdana" w:hAnsi="Verdana"/>
          <w:sz w:val="20"/>
          <w:szCs w:val="24"/>
        </w:rPr>
        <w:t xml:space="preserve">broader context of the </w:t>
      </w:r>
      <w:r w:rsidR="00320701" w:rsidRPr="00B37972">
        <w:rPr>
          <w:rFonts w:ascii="Verdana" w:hAnsi="Verdana"/>
          <w:sz w:val="20"/>
          <w:szCs w:val="24"/>
        </w:rPr>
        <w:t xml:space="preserve">increasing power of the executive </w:t>
      </w:r>
      <w:r w:rsidR="00BB1756" w:rsidRPr="00B37972">
        <w:rPr>
          <w:rFonts w:ascii="Verdana" w:hAnsi="Verdana"/>
          <w:sz w:val="20"/>
          <w:szCs w:val="24"/>
        </w:rPr>
        <w:t xml:space="preserve">branch </w:t>
      </w:r>
      <w:r w:rsidR="00320701" w:rsidRPr="00B37972">
        <w:rPr>
          <w:rFonts w:ascii="Verdana" w:hAnsi="Verdana"/>
          <w:sz w:val="20"/>
          <w:szCs w:val="24"/>
        </w:rPr>
        <w:t>as regards the appointments and dismissals</w:t>
      </w:r>
      <w:r w:rsidR="00BB1756" w:rsidRPr="00B37972">
        <w:rPr>
          <w:rFonts w:ascii="Verdana" w:hAnsi="Verdana"/>
          <w:sz w:val="20"/>
          <w:szCs w:val="24"/>
        </w:rPr>
        <w:t xml:space="preserve"> of prosecutors</w:t>
      </w:r>
      <w:r w:rsidR="0035378A">
        <w:rPr>
          <w:rFonts w:ascii="Verdana" w:hAnsi="Verdana"/>
          <w:sz w:val="20"/>
          <w:szCs w:val="24"/>
        </w:rPr>
        <w:t xml:space="preserve"> and the reduced role of the President of Romania</w:t>
      </w:r>
      <w:r w:rsidR="00741F38">
        <w:rPr>
          <w:rFonts w:ascii="Verdana" w:hAnsi="Verdana"/>
          <w:sz w:val="20"/>
          <w:szCs w:val="24"/>
        </w:rPr>
        <w:t>,</w:t>
      </w:r>
      <w:r w:rsidR="0035378A">
        <w:rPr>
          <w:rFonts w:ascii="Verdana" w:hAnsi="Verdana"/>
          <w:sz w:val="20"/>
          <w:szCs w:val="24"/>
        </w:rPr>
        <w:t xml:space="preserve"> to the detriment of checks and balances</w:t>
      </w:r>
      <w:r w:rsidR="005E6055" w:rsidRPr="00B37972">
        <w:rPr>
          <w:rFonts w:ascii="Verdana" w:hAnsi="Verdana"/>
          <w:sz w:val="20"/>
          <w:szCs w:val="24"/>
        </w:rPr>
        <w:t xml:space="preserve">, </w:t>
      </w:r>
      <w:r w:rsidR="009253E5" w:rsidRPr="00B37972">
        <w:rPr>
          <w:rFonts w:ascii="Verdana" w:hAnsi="Verdana"/>
          <w:sz w:val="20"/>
          <w:szCs w:val="24"/>
        </w:rPr>
        <w:t xml:space="preserve">constitute a potential threat to </w:t>
      </w:r>
      <w:r w:rsidR="005E6055" w:rsidRPr="00B37972">
        <w:rPr>
          <w:rFonts w:ascii="Verdana" w:hAnsi="Verdana"/>
          <w:sz w:val="20"/>
          <w:szCs w:val="24"/>
        </w:rPr>
        <w:t xml:space="preserve">the operational independence of prosecutors and </w:t>
      </w:r>
      <w:r w:rsidR="009253E5" w:rsidRPr="00B37972">
        <w:rPr>
          <w:rFonts w:ascii="Verdana" w:hAnsi="Verdana"/>
          <w:sz w:val="20"/>
          <w:szCs w:val="24"/>
        </w:rPr>
        <w:t xml:space="preserve">may hinder the effective </w:t>
      </w:r>
      <w:r w:rsidR="005E6055" w:rsidRPr="00B37972">
        <w:rPr>
          <w:rFonts w:ascii="Verdana" w:hAnsi="Verdana"/>
          <w:sz w:val="20"/>
          <w:szCs w:val="24"/>
        </w:rPr>
        <w:t>fight</w:t>
      </w:r>
      <w:r w:rsidR="009253E5" w:rsidRPr="00B37972">
        <w:rPr>
          <w:rFonts w:ascii="Verdana" w:hAnsi="Verdana"/>
          <w:sz w:val="20"/>
          <w:szCs w:val="24"/>
        </w:rPr>
        <w:t xml:space="preserve"> against corruption in Romania. </w:t>
      </w:r>
    </w:p>
    <w:p w:rsidR="00482B09" w:rsidRPr="00B37972" w:rsidRDefault="00482B09" w:rsidP="00B37972">
      <w:pPr>
        <w:pStyle w:val="Listparagraf"/>
        <w:tabs>
          <w:tab w:val="left" w:pos="567"/>
        </w:tabs>
        <w:suppressAutoHyphens w:val="0"/>
        <w:spacing w:after="0" w:line="240" w:lineRule="auto"/>
        <w:ind w:left="0"/>
        <w:jc w:val="both"/>
        <w:rPr>
          <w:rFonts w:ascii="Verdana" w:hAnsi="Verdana"/>
          <w:sz w:val="20"/>
          <w:szCs w:val="24"/>
        </w:rPr>
      </w:pPr>
    </w:p>
    <w:p w:rsidR="00C0356D" w:rsidRPr="00B37972" w:rsidRDefault="009253E5"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u w:val="single"/>
        </w:rPr>
        <w:t>GRECO concludes that this recommendation has not been implemented</w:t>
      </w:r>
      <w:r w:rsidRPr="00B37972">
        <w:rPr>
          <w:rFonts w:ascii="Verdana" w:hAnsi="Verdana"/>
          <w:sz w:val="20"/>
          <w:szCs w:val="24"/>
        </w:rPr>
        <w:t xml:space="preserve">. </w:t>
      </w:r>
    </w:p>
    <w:p w:rsidR="00160956" w:rsidRPr="00B37972" w:rsidRDefault="00160956" w:rsidP="00B37972">
      <w:pPr>
        <w:pStyle w:val="Listparagraf"/>
        <w:suppressAutoHyphens w:val="0"/>
        <w:spacing w:after="0" w:line="240" w:lineRule="auto"/>
        <w:jc w:val="both"/>
        <w:rPr>
          <w:rFonts w:ascii="Verdana" w:hAnsi="Verdana"/>
          <w:i/>
          <w:sz w:val="20"/>
          <w:szCs w:val="24"/>
        </w:rPr>
      </w:pPr>
    </w:p>
    <w:p w:rsidR="00D12937" w:rsidRPr="00B37972" w:rsidRDefault="00D12937" w:rsidP="00B37972">
      <w:pPr>
        <w:pStyle w:val="Listparagraf"/>
        <w:numPr>
          <w:ilvl w:val="0"/>
          <w:numId w:val="3"/>
        </w:numPr>
        <w:suppressAutoHyphens w:val="0"/>
        <w:spacing w:after="0" w:line="240" w:lineRule="auto"/>
        <w:jc w:val="both"/>
        <w:rPr>
          <w:rFonts w:ascii="Verdana" w:hAnsi="Verdana"/>
          <w:i/>
          <w:sz w:val="20"/>
          <w:szCs w:val="24"/>
        </w:rPr>
      </w:pPr>
      <w:r w:rsidRPr="00B37972">
        <w:rPr>
          <w:rFonts w:ascii="Verdana" w:hAnsi="Verdana"/>
          <w:i/>
          <w:sz w:val="20"/>
          <w:szCs w:val="24"/>
        </w:rPr>
        <w:t>Specific issues concerning the rights and obligations of judges and prosecutors, including incompatibilities</w:t>
      </w:r>
    </w:p>
    <w:p w:rsidR="00D12937" w:rsidRPr="00B37972" w:rsidRDefault="00D12937" w:rsidP="00B37972">
      <w:pPr>
        <w:pStyle w:val="Listparagraf"/>
        <w:suppressAutoHyphens w:val="0"/>
        <w:spacing w:after="0" w:line="240" w:lineRule="auto"/>
        <w:jc w:val="both"/>
        <w:rPr>
          <w:rFonts w:ascii="Verdana" w:hAnsi="Verdana"/>
          <w:i/>
          <w:sz w:val="20"/>
          <w:szCs w:val="24"/>
        </w:rPr>
      </w:pPr>
    </w:p>
    <w:p w:rsidR="00574A35" w:rsidRPr="00B37972" w:rsidRDefault="006F58B5"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u w:val="single"/>
        </w:rPr>
      </w:pPr>
      <w:r w:rsidRPr="00B37972">
        <w:rPr>
          <w:rFonts w:ascii="Verdana" w:hAnsi="Verdana"/>
          <w:sz w:val="20"/>
          <w:szCs w:val="24"/>
        </w:rPr>
        <w:t>In the Ad hoc Report,</w:t>
      </w:r>
      <w:r w:rsidRPr="00B37972">
        <w:rPr>
          <w:rFonts w:ascii="Verdana" w:hAnsi="Verdana"/>
          <w:i/>
          <w:sz w:val="20"/>
          <w:szCs w:val="24"/>
        </w:rPr>
        <w:t xml:space="preserve"> </w:t>
      </w:r>
      <w:r w:rsidR="00F83579" w:rsidRPr="00B37972">
        <w:rPr>
          <w:rFonts w:ascii="Verdana" w:hAnsi="Verdana"/>
          <w:i/>
          <w:sz w:val="20"/>
          <w:szCs w:val="24"/>
        </w:rPr>
        <w:t>GRECO recommend</w:t>
      </w:r>
      <w:r w:rsidRPr="00B37972">
        <w:rPr>
          <w:rFonts w:ascii="Verdana" w:hAnsi="Verdana"/>
          <w:i/>
          <w:sz w:val="20"/>
          <w:szCs w:val="24"/>
        </w:rPr>
        <w:t>ed</w:t>
      </w:r>
      <w:r w:rsidR="00F83579" w:rsidRPr="00B37972">
        <w:rPr>
          <w:rFonts w:ascii="Verdana" w:hAnsi="Verdana"/>
          <w:i/>
          <w:sz w:val="20"/>
          <w:szCs w:val="24"/>
        </w:rPr>
        <w:t xml:space="preserve"> avoid</w:t>
      </w:r>
      <w:r w:rsidR="007F7A4E" w:rsidRPr="00B37972">
        <w:rPr>
          <w:rFonts w:ascii="Verdana" w:hAnsi="Verdana"/>
          <w:i/>
          <w:sz w:val="20"/>
          <w:szCs w:val="24"/>
        </w:rPr>
        <w:t>ing</w:t>
      </w:r>
      <w:r w:rsidR="00F83579" w:rsidRPr="00B37972">
        <w:rPr>
          <w:rFonts w:ascii="Verdana" w:hAnsi="Verdana"/>
          <w:i/>
          <w:sz w:val="20"/>
          <w:szCs w:val="24"/>
        </w:rPr>
        <w:t xml:space="preserve"> the creation of new avenues for conflicts of interest and incompatibilities, </w:t>
      </w:r>
      <w:r w:rsidR="007F7A4E" w:rsidRPr="00B37972">
        <w:rPr>
          <w:rFonts w:ascii="Verdana" w:hAnsi="Verdana"/>
          <w:i/>
          <w:sz w:val="20"/>
          <w:szCs w:val="24"/>
        </w:rPr>
        <w:t xml:space="preserve">particularly </w:t>
      </w:r>
      <w:r w:rsidR="00F83579" w:rsidRPr="00B37972">
        <w:rPr>
          <w:rFonts w:ascii="Verdana" w:hAnsi="Verdana"/>
          <w:i/>
          <w:sz w:val="20"/>
          <w:szCs w:val="24"/>
        </w:rPr>
        <w:t>in connection with political activities and government functions</w:t>
      </w:r>
      <w:r w:rsidR="00094AD6" w:rsidRPr="00B37972">
        <w:rPr>
          <w:rFonts w:ascii="Verdana" w:hAnsi="Verdana"/>
          <w:sz w:val="20"/>
          <w:szCs w:val="24"/>
        </w:rPr>
        <w:t xml:space="preserve"> (recommendation iv)</w:t>
      </w:r>
      <w:r w:rsidR="00F83579" w:rsidRPr="00B37972">
        <w:rPr>
          <w:rFonts w:ascii="Verdana" w:hAnsi="Verdana"/>
          <w:sz w:val="20"/>
          <w:szCs w:val="24"/>
        </w:rPr>
        <w:t>.</w:t>
      </w:r>
    </w:p>
    <w:p w:rsidR="00574A35" w:rsidRPr="00B37972" w:rsidRDefault="00574A35" w:rsidP="00B37972">
      <w:pPr>
        <w:pStyle w:val="Listparagraf"/>
        <w:tabs>
          <w:tab w:val="left" w:pos="567"/>
        </w:tabs>
        <w:suppressAutoHyphens w:val="0"/>
        <w:spacing w:after="0" w:line="240" w:lineRule="auto"/>
        <w:ind w:left="0"/>
        <w:jc w:val="both"/>
        <w:rPr>
          <w:rFonts w:ascii="Verdana" w:hAnsi="Verdana"/>
          <w:sz w:val="20"/>
          <w:szCs w:val="24"/>
          <w:u w:val="single"/>
        </w:rPr>
      </w:pPr>
    </w:p>
    <w:p w:rsidR="00663891" w:rsidRPr="00B37972" w:rsidRDefault="00574A35"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u w:val="single"/>
        </w:rPr>
      </w:pPr>
      <w:r w:rsidRPr="00B37972">
        <w:rPr>
          <w:rFonts w:ascii="Verdana" w:hAnsi="Verdana"/>
          <w:sz w:val="20"/>
          <w:szCs w:val="24"/>
          <w:u w:val="single"/>
        </w:rPr>
        <w:t>GRECO</w:t>
      </w:r>
      <w:r w:rsidRPr="00B37972">
        <w:rPr>
          <w:rFonts w:ascii="Verdana" w:hAnsi="Verdana"/>
          <w:sz w:val="20"/>
          <w:szCs w:val="24"/>
        </w:rPr>
        <w:t xml:space="preserve"> recalls that this recommendation was adopted in response to draft amendments allowing judges and prosecutors to take up duties in government without resignation from their position</w:t>
      </w:r>
      <w:r w:rsidR="00A71BC3" w:rsidRPr="00B37972">
        <w:rPr>
          <w:rFonts w:ascii="Verdana" w:hAnsi="Verdana"/>
          <w:sz w:val="20"/>
          <w:szCs w:val="24"/>
        </w:rPr>
        <w:t>, which</w:t>
      </w:r>
      <w:r w:rsidRPr="00B37972">
        <w:rPr>
          <w:rFonts w:ascii="Verdana" w:hAnsi="Verdana"/>
          <w:sz w:val="20"/>
          <w:szCs w:val="24"/>
        </w:rPr>
        <w:t xml:space="preserve"> rais</w:t>
      </w:r>
      <w:r w:rsidR="00A71BC3" w:rsidRPr="00B37972">
        <w:rPr>
          <w:rFonts w:ascii="Verdana" w:hAnsi="Verdana"/>
          <w:sz w:val="20"/>
          <w:szCs w:val="24"/>
        </w:rPr>
        <w:t>e</w:t>
      </w:r>
      <w:r w:rsidR="00A74EF2" w:rsidRPr="00B37972">
        <w:rPr>
          <w:rFonts w:ascii="Verdana" w:hAnsi="Verdana"/>
          <w:sz w:val="20"/>
          <w:szCs w:val="24"/>
        </w:rPr>
        <w:t>s</w:t>
      </w:r>
      <w:r w:rsidRPr="00B37972">
        <w:rPr>
          <w:rFonts w:ascii="Verdana" w:hAnsi="Verdana"/>
          <w:sz w:val="20"/>
          <w:szCs w:val="24"/>
        </w:rPr>
        <w:t xml:space="preserve"> important concerns of incompatibility and conflicts of interest.</w:t>
      </w:r>
    </w:p>
    <w:p w:rsidR="00663891" w:rsidRPr="00B37972" w:rsidRDefault="00663891" w:rsidP="00B37972">
      <w:pPr>
        <w:pStyle w:val="Listparagraf"/>
        <w:tabs>
          <w:tab w:val="left" w:pos="567"/>
        </w:tabs>
        <w:suppressAutoHyphens w:val="0"/>
        <w:spacing w:after="0" w:line="240" w:lineRule="auto"/>
        <w:ind w:left="0"/>
        <w:jc w:val="both"/>
        <w:rPr>
          <w:rFonts w:ascii="Verdana" w:hAnsi="Verdana"/>
          <w:sz w:val="20"/>
          <w:szCs w:val="24"/>
        </w:rPr>
      </w:pPr>
    </w:p>
    <w:p w:rsidR="00CB5F98" w:rsidRPr="00B37972" w:rsidRDefault="00CB5F98" w:rsidP="00B37972">
      <w:pPr>
        <w:pStyle w:val="Listparagraf"/>
        <w:numPr>
          <w:ilvl w:val="0"/>
          <w:numId w:val="5"/>
        </w:numPr>
        <w:tabs>
          <w:tab w:val="left" w:pos="567"/>
        </w:tabs>
        <w:suppressAutoHyphens w:val="0"/>
        <w:spacing w:after="0" w:line="240" w:lineRule="auto"/>
        <w:ind w:left="0" w:firstLine="0"/>
        <w:jc w:val="both"/>
        <w:rPr>
          <w:rFonts w:ascii="Verdana" w:hAnsi="Verdana"/>
          <w:noProof/>
          <w:sz w:val="20"/>
        </w:rPr>
      </w:pPr>
      <w:r w:rsidRPr="00B37972">
        <w:rPr>
          <w:rFonts w:ascii="Verdana" w:hAnsi="Verdana"/>
          <w:noProof/>
          <w:sz w:val="20"/>
          <w:u w:val="single"/>
        </w:rPr>
        <w:t>The Romanian authorities</w:t>
      </w:r>
      <w:r w:rsidRPr="00B37972">
        <w:rPr>
          <w:rFonts w:ascii="Verdana" w:hAnsi="Verdana"/>
          <w:noProof/>
          <w:sz w:val="20"/>
        </w:rPr>
        <w:t xml:space="preserve"> state that </w:t>
      </w:r>
      <w:r w:rsidR="003623B6" w:rsidRPr="00B37972">
        <w:rPr>
          <w:rFonts w:ascii="Verdana" w:hAnsi="Verdana"/>
          <w:noProof/>
          <w:sz w:val="20"/>
        </w:rPr>
        <w:t xml:space="preserve">the provisions potentially generating incompatibilities </w:t>
      </w:r>
      <w:r w:rsidR="00576EAB" w:rsidRPr="00B37972">
        <w:rPr>
          <w:rFonts w:ascii="Verdana" w:hAnsi="Verdana"/>
          <w:noProof/>
          <w:sz w:val="20"/>
        </w:rPr>
        <w:t>and</w:t>
      </w:r>
      <w:r w:rsidR="003623B6" w:rsidRPr="00B37972">
        <w:rPr>
          <w:rFonts w:ascii="Verdana" w:hAnsi="Verdana"/>
          <w:noProof/>
          <w:sz w:val="20"/>
        </w:rPr>
        <w:t xml:space="preserve"> conflicts of interest for judges and prosecutors have been removed after having been declared unconstitutional by the Constitutional Court. T</w:t>
      </w:r>
      <w:r w:rsidRPr="00B37972">
        <w:rPr>
          <w:rFonts w:ascii="Verdana" w:hAnsi="Verdana"/>
          <w:noProof/>
          <w:sz w:val="20"/>
        </w:rPr>
        <w:t xml:space="preserve">he revised </w:t>
      </w:r>
      <w:r w:rsidR="003623B6" w:rsidRPr="00B37972">
        <w:rPr>
          <w:rFonts w:ascii="Verdana" w:hAnsi="Verdana"/>
          <w:noProof/>
          <w:sz w:val="20"/>
        </w:rPr>
        <w:t xml:space="preserve">wording </w:t>
      </w:r>
      <w:r w:rsidRPr="00B37972">
        <w:rPr>
          <w:rFonts w:ascii="Verdana" w:hAnsi="Verdana"/>
          <w:noProof/>
          <w:sz w:val="20"/>
        </w:rPr>
        <w:t xml:space="preserve">of </w:t>
      </w:r>
      <w:r w:rsidR="003623B6" w:rsidRPr="00B37972">
        <w:rPr>
          <w:rFonts w:ascii="Verdana" w:hAnsi="Verdana"/>
          <w:noProof/>
          <w:sz w:val="20"/>
        </w:rPr>
        <w:t>L</w:t>
      </w:r>
      <w:r w:rsidRPr="00B37972">
        <w:rPr>
          <w:rFonts w:ascii="Verdana" w:hAnsi="Verdana"/>
          <w:noProof/>
          <w:sz w:val="20"/>
        </w:rPr>
        <w:t>aw</w:t>
      </w:r>
      <w:r w:rsidR="003623B6" w:rsidRPr="00B37972">
        <w:rPr>
          <w:rFonts w:ascii="Verdana" w:hAnsi="Verdana"/>
          <w:noProof/>
          <w:sz w:val="20"/>
        </w:rPr>
        <w:t xml:space="preserve"> no.</w:t>
      </w:r>
      <w:r w:rsidR="00BB1756" w:rsidRPr="00B37972">
        <w:rPr>
          <w:rFonts w:ascii="Verdana" w:hAnsi="Verdana"/>
          <w:noProof/>
          <w:sz w:val="20"/>
        </w:rPr>
        <w:t xml:space="preserve"> </w:t>
      </w:r>
      <w:r w:rsidR="003623B6" w:rsidRPr="00B37972">
        <w:rPr>
          <w:rFonts w:ascii="Verdana" w:hAnsi="Verdana"/>
          <w:noProof/>
          <w:sz w:val="20"/>
        </w:rPr>
        <w:t>303/2004 on the Statu</w:t>
      </w:r>
      <w:r w:rsidR="006A786A" w:rsidRPr="00B37972">
        <w:rPr>
          <w:rFonts w:ascii="Verdana" w:hAnsi="Verdana"/>
          <w:noProof/>
          <w:sz w:val="20"/>
        </w:rPr>
        <w:t>te</w:t>
      </w:r>
      <w:r w:rsidR="003623B6" w:rsidRPr="00B37972">
        <w:rPr>
          <w:rFonts w:ascii="Verdana" w:hAnsi="Verdana"/>
          <w:noProof/>
          <w:sz w:val="20"/>
        </w:rPr>
        <w:t xml:space="preserve"> of Judges and Prosecutors, now</w:t>
      </w:r>
      <w:r w:rsidRPr="00B37972">
        <w:rPr>
          <w:rFonts w:ascii="Verdana" w:hAnsi="Verdana"/>
          <w:noProof/>
          <w:sz w:val="20"/>
        </w:rPr>
        <w:t xml:space="preserve"> in force</w:t>
      </w:r>
      <w:r w:rsidR="003623B6" w:rsidRPr="00B37972">
        <w:rPr>
          <w:rFonts w:ascii="Verdana" w:hAnsi="Verdana"/>
          <w:noProof/>
          <w:sz w:val="20"/>
        </w:rPr>
        <w:t>, states that</w:t>
      </w:r>
      <w:r w:rsidRPr="00B37972">
        <w:rPr>
          <w:rFonts w:ascii="Verdana" w:hAnsi="Verdana"/>
          <w:noProof/>
          <w:sz w:val="20"/>
        </w:rPr>
        <w:t xml:space="preserve"> offices of judge</w:t>
      </w:r>
      <w:r w:rsidR="00094AD6" w:rsidRPr="00B37972">
        <w:rPr>
          <w:rFonts w:ascii="Verdana" w:hAnsi="Verdana"/>
          <w:noProof/>
          <w:sz w:val="20"/>
        </w:rPr>
        <w:t>s</w:t>
      </w:r>
      <w:r w:rsidRPr="00B37972">
        <w:rPr>
          <w:rFonts w:ascii="Verdana" w:hAnsi="Verdana"/>
          <w:noProof/>
          <w:sz w:val="20"/>
        </w:rPr>
        <w:t xml:space="preserve"> and prosecutor</w:t>
      </w:r>
      <w:r w:rsidR="00094AD6" w:rsidRPr="00B37972">
        <w:rPr>
          <w:rFonts w:ascii="Verdana" w:hAnsi="Verdana"/>
          <w:noProof/>
          <w:sz w:val="20"/>
        </w:rPr>
        <w:t>s</w:t>
      </w:r>
      <w:r w:rsidRPr="00B37972">
        <w:rPr>
          <w:rFonts w:ascii="Verdana" w:hAnsi="Verdana"/>
          <w:noProof/>
          <w:sz w:val="20"/>
        </w:rPr>
        <w:t xml:space="preserve"> are incompatible with any other public or private offices, except for the highe</w:t>
      </w:r>
      <w:r w:rsidR="006F58B5" w:rsidRPr="00B37972">
        <w:rPr>
          <w:rFonts w:ascii="Verdana" w:hAnsi="Verdana"/>
          <w:noProof/>
          <w:sz w:val="20"/>
        </w:rPr>
        <w:t>r education didactic functions.</w:t>
      </w:r>
    </w:p>
    <w:p w:rsidR="003623B6" w:rsidRPr="00B37972" w:rsidRDefault="003623B6" w:rsidP="00B37972">
      <w:pPr>
        <w:pStyle w:val="Listparagraf"/>
        <w:tabs>
          <w:tab w:val="left" w:pos="567"/>
        </w:tabs>
        <w:suppressAutoHyphens w:val="0"/>
        <w:spacing w:after="0" w:line="240" w:lineRule="auto"/>
        <w:ind w:left="0"/>
        <w:jc w:val="both"/>
        <w:rPr>
          <w:rFonts w:ascii="Verdana" w:hAnsi="Verdana"/>
          <w:noProof/>
          <w:sz w:val="20"/>
        </w:rPr>
      </w:pPr>
    </w:p>
    <w:p w:rsidR="003623B6" w:rsidRPr="00B37972" w:rsidRDefault="00094AD6" w:rsidP="00B37972">
      <w:pPr>
        <w:pStyle w:val="Listparagraf"/>
        <w:numPr>
          <w:ilvl w:val="0"/>
          <w:numId w:val="5"/>
        </w:numPr>
        <w:tabs>
          <w:tab w:val="left" w:pos="567"/>
        </w:tabs>
        <w:suppressAutoHyphens w:val="0"/>
        <w:spacing w:after="0" w:line="240" w:lineRule="auto"/>
        <w:ind w:left="0" w:firstLine="0"/>
        <w:jc w:val="both"/>
        <w:rPr>
          <w:rFonts w:ascii="Verdana" w:hAnsi="Verdana"/>
          <w:noProof/>
          <w:sz w:val="20"/>
        </w:rPr>
      </w:pPr>
      <w:r w:rsidRPr="00B37972">
        <w:rPr>
          <w:rFonts w:ascii="Verdana" w:hAnsi="Verdana"/>
          <w:noProof/>
          <w:sz w:val="20"/>
          <w:u w:val="single"/>
        </w:rPr>
        <w:t>GRECO</w:t>
      </w:r>
      <w:r w:rsidRPr="00B37972">
        <w:rPr>
          <w:rFonts w:ascii="Verdana" w:hAnsi="Verdana"/>
          <w:noProof/>
          <w:sz w:val="20"/>
        </w:rPr>
        <w:t xml:space="preserve"> is satisfied with the amended legislation in this respect</w:t>
      </w:r>
      <w:r w:rsidR="00A71BC3" w:rsidRPr="00B37972">
        <w:rPr>
          <w:rFonts w:ascii="Verdana" w:hAnsi="Verdana"/>
          <w:noProof/>
          <w:sz w:val="20"/>
        </w:rPr>
        <w:t xml:space="preserve"> and</w:t>
      </w:r>
      <w:r w:rsidR="003623B6" w:rsidRPr="00B37972">
        <w:rPr>
          <w:rFonts w:ascii="Verdana" w:hAnsi="Verdana"/>
          <w:noProof/>
          <w:sz w:val="20"/>
        </w:rPr>
        <w:t xml:space="preserve"> </w:t>
      </w:r>
      <w:r w:rsidR="003623B6" w:rsidRPr="00B37972">
        <w:rPr>
          <w:rFonts w:ascii="Verdana" w:hAnsi="Verdana"/>
          <w:noProof/>
          <w:sz w:val="20"/>
          <w:u w:val="single"/>
        </w:rPr>
        <w:t xml:space="preserve">concludes that this recommendation has been </w:t>
      </w:r>
      <w:r w:rsidRPr="00B37972">
        <w:rPr>
          <w:rFonts w:ascii="Verdana" w:hAnsi="Verdana"/>
          <w:noProof/>
          <w:sz w:val="20"/>
          <w:u w:val="single"/>
        </w:rPr>
        <w:t xml:space="preserve">dealt with in a </w:t>
      </w:r>
      <w:r w:rsidR="003623B6" w:rsidRPr="00B37972">
        <w:rPr>
          <w:rFonts w:ascii="Verdana" w:hAnsi="Verdana"/>
          <w:noProof/>
          <w:sz w:val="20"/>
          <w:u w:val="single"/>
        </w:rPr>
        <w:t>satisfactory</w:t>
      </w:r>
      <w:r w:rsidRPr="00B37972">
        <w:rPr>
          <w:rFonts w:ascii="Verdana" w:hAnsi="Verdana"/>
          <w:noProof/>
          <w:sz w:val="20"/>
          <w:u w:val="single"/>
        </w:rPr>
        <w:t xml:space="preserve"> manner</w:t>
      </w:r>
      <w:r w:rsidR="003623B6" w:rsidRPr="00B37972">
        <w:rPr>
          <w:rFonts w:ascii="Verdana" w:hAnsi="Verdana"/>
          <w:noProof/>
          <w:sz w:val="20"/>
        </w:rPr>
        <w:t>.</w:t>
      </w:r>
    </w:p>
    <w:p w:rsidR="006F58B5" w:rsidRPr="00B37972" w:rsidRDefault="006F58B5" w:rsidP="00B37972">
      <w:pPr>
        <w:pStyle w:val="Listparagraf"/>
        <w:tabs>
          <w:tab w:val="left" w:pos="567"/>
        </w:tabs>
        <w:suppressAutoHyphens w:val="0"/>
        <w:spacing w:after="0" w:line="240" w:lineRule="auto"/>
        <w:ind w:left="0"/>
        <w:jc w:val="both"/>
        <w:rPr>
          <w:rFonts w:ascii="Verdana" w:hAnsi="Verdana"/>
          <w:noProof/>
          <w:sz w:val="20"/>
        </w:rPr>
      </w:pPr>
    </w:p>
    <w:p w:rsidR="00B41DDA" w:rsidRPr="00B37972" w:rsidRDefault="00A665EF"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rPr>
        <w:t xml:space="preserve">In the Ad </w:t>
      </w:r>
      <w:r w:rsidR="000D5F3C" w:rsidRPr="00B37972">
        <w:rPr>
          <w:rFonts w:ascii="Verdana" w:hAnsi="Verdana"/>
          <w:sz w:val="20"/>
          <w:szCs w:val="24"/>
        </w:rPr>
        <w:t>h</w:t>
      </w:r>
      <w:r w:rsidRPr="00B37972">
        <w:rPr>
          <w:rFonts w:ascii="Verdana" w:hAnsi="Verdana"/>
          <w:sz w:val="20"/>
          <w:szCs w:val="24"/>
        </w:rPr>
        <w:t xml:space="preserve">oc Report, </w:t>
      </w:r>
      <w:r w:rsidR="00D12937" w:rsidRPr="00B37972">
        <w:rPr>
          <w:rFonts w:ascii="Verdana" w:hAnsi="Verdana"/>
          <w:i/>
          <w:sz w:val="20"/>
          <w:szCs w:val="24"/>
        </w:rPr>
        <w:t xml:space="preserve">GRECO </w:t>
      </w:r>
      <w:r w:rsidR="00AF3A57" w:rsidRPr="00B37972">
        <w:rPr>
          <w:rFonts w:ascii="Verdana" w:hAnsi="Verdana"/>
          <w:i/>
          <w:sz w:val="20"/>
          <w:szCs w:val="24"/>
        </w:rPr>
        <w:t>recommend</w:t>
      </w:r>
      <w:r w:rsidR="006F58B5" w:rsidRPr="00B37972">
        <w:rPr>
          <w:rFonts w:ascii="Verdana" w:hAnsi="Verdana"/>
          <w:i/>
          <w:sz w:val="20"/>
          <w:szCs w:val="24"/>
        </w:rPr>
        <w:t>ed</w:t>
      </w:r>
      <w:r w:rsidR="00AF3A57" w:rsidRPr="00B37972">
        <w:rPr>
          <w:rFonts w:ascii="Verdana" w:hAnsi="Verdana"/>
          <w:i/>
          <w:sz w:val="20"/>
          <w:szCs w:val="24"/>
        </w:rPr>
        <w:t xml:space="preserve"> </w:t>
      </w:r>
      <w:r w:rsidR="00D12937" w:rsidRPr="00B37972">
        <w:rPr>
          <w:rFonts w:ascii="Verdana" w:hAnsi="Verdana"/>
          <w:i/>
          <w:sz w:val="20"/>
          <w:szCs w:val="24"/>
        </w:rPr>
        <w:t xml:space="preserve">that the various amendments affecting the rights and obligations and the liability of judges and prosecutors for judicial errors be reviewed so as to ensure sufficient clarity and predictability of the rules concerned, </w:t>
      </w:r>
      <w:r w:rsidR="00AD60C0" w:rsidRPr="00B37972">
        <w:rPr>
          <w:rFonts w:ascii="Verdana" w:hAnsi="Verdana"/>
          <w:i/>
          <w:sz w:val="20"/>
          <w:szCs w:val="24"/>
        </w:rPr>
        <w:t xml:space="preserve">and </w:t>
      </w:r>
      <w:r w:rsidR="00454EED" w:rsidRPr="00B37972">
        <w:rPr>
          <w:rFonts w:ascii="Verdana" w:hAnsi="Verdana"/>
          <w:i/>
          <w:sz w:val="20"/>
          <w:szCs w:val="24"/>
        </w:rPr>
        <w:t>to avoid</w:t>
      </w:r>
      <w:r w:rsidR="00D12937" w:rsidRPr="00B37972">
        <w:rPr>
          <w:rFonts w:ascii="Verdana" w:hAnsi="Verdana"/>
          <w:i/>
          <w:sz w:val="20"/>
          <w:szCs w:val="24"/>
        </w:rPr>
        <w:t xml:space="preserve"> </w:t>
      </w:r>
      <w:r w:rsidR="003360A4" w:rsidRPr="00B37972">
        <w:rPr>
          <w:rFonts w:ascii="Verdana" w:hAnsi="Verdana"/>
          <w:i/>
          <w:sz w:val="20"/>
          <w:szCs w:val="24"/>
        </w:rPr>
        <w:t xml:space="preserve">that they become a threat </w:t>
      </w:r>
      <w:r w:rsidR="00AD60C0" w:rsidRPr="00B37972">
        <w:rPr>
          <w:rFonts w:ascii="Verdana" w:hAnsi="Verdana"/>
          <w:i/>
          <w:sz w:val="20"/>
          <w:szCs w:val="24"/>
        </w:rPr>
        <w:t xml:space="preserve">to </w:t>
      </w:r>
      <w:r w:rsidR="003360A4" w:rsidRPr="00B37972">
        <w:rPr>
          <w:rFonts w:ascii="Verdana" w:hAnsi="Verdana"/>
          <w:i/>
          <w:sz w:val="20"/>
          <w:szCs w:val="24"/>
        </w:rPr>
        <w:t xml:space="preserve">the independence of </w:t>
      </w:r>
      <w:r w:rsidR="00AD60C0" w:rsidRPr="00B37972">
        <w:rPr>
          <w:rFonts w:ascii="Verdana" w:hAnsi="Verdana"/>
          <w:i/>
          <w:sz w:val="20"/>
          <w:szCs w:val="24"/>
        </w:rPr>
        <w:t>the judiciary</w:t>
      </w:r>
      <w:r w:rsidR="00094AD6" w:rsidRPr="00B37972">
        <w:rPr>
          <w:rFonts w:ascii="Verdana" w:hAnsi="Verdana"/>
          <w:sz w:val="20"/>
          <w:szCs w:val="24"/>
        </w:rPr>
        <w:t xml:space="preserve"> (recommendation v)</w:t>
      </w:r>
      <w:r w:rsidR="00F83579" w:rsidRPr="00B37972">
        <w:rPr>
          <w:rFonts w:ascii="Verdana" w:hAnsi="Verdana"/>
          <w:sz w:val="20"/>
          <w:szCs w:val="24"/>
        </w:rPr>
        <w:t>.</w:t>
      </w:r>
    </w:p>
    <w:p w:rsidR="00B41DDA" w:rsidRPr="00B37972" w:rsidRDefault="00B41DDA" w:rsidP="00B37972">
      <w:pPr>
        <w:pStyle w:val="Listparagraf"/>
        <w:tabs>
          <w:tab w:val="left" w:pos="567"/>
        </w:tabs>
        <w:suppressAutoHyphens w:val="0"/>
        <w:spacing w:after="0" w:line="240" w:lineRule="auto"/>
        <w:ind w:left="0"/>
        <w:jc w:val="both"/>
        <w:rPr>
          <w:rFonts w:ascii="Verdana" w:hAnsi="Verdana"/>
          <w:sz w:val="20"/>
          <w:szCs w:val="24"/>
        </w:rPr>
      </w:pPr>
    </w:p>
    <w:p w:rsidR="00663891" w:rsidRPr="00B37972" w:rsidRDefault="00B41DDA" w:rsidP="00B37972">
      <w:pPr>
        <w:pStyle w:val="Listparagraf"/>
        <w:numPr>
          <w:ilvl w:val="0"/>
          <w:numId w:val="5"/>
        </w:numPr>
        <w:tabs>
          <w:tab w:val="left" w:pos="567"/>
        </w:tabs>
        <w:suppressAutoHyphens w:val="0"/>
        <w:spacing w:after="0" w:line="240" w:lineRule="auto"/>
        <w:ind w:left="0" w:firstLine="0"/>
        <w:jc w:val="both"/>
        <w:rPr>
          <w:rFonts w:ascii="Verdana" w:hAnsi="Verdana"/>
          <w:i/>
          <w:sz w:val="20"/>
          <w:szCs w:val="24"/>
        </w:rPr>
      </w:pPr>
      <w:r w:rsidRPr="00B37972">
        <w:rPr>
          <w:rFonts w:ascii="Verdana" w:hAnsi="Verdana"/>
          <w:sz w:val="20"/>
          <w:szCs w:val="24"/>
          <w:u w:val="single"/>
        </w:rPr>
        <w:t>GRECO</w:t>
      </w:r>
      <w:r w:rsidRPr="00B37972">
        <w:rPr>
          <w:rFonts w:ascii="Verdana" w:hAnsi="Verdana"/>
          <w:sz w:val="20"/>
          <w:szCs w:val="24"/>
        </w:rPr>
        <w:t xml:space="preserve"> recalls that this recommendation addressed concerns over the proposed amendments, whereby the Ministry of Public Finance would have </w:t>
      </w:r>
      <w:r w:rsidRPr="00B37972">
        <w:rPr>
          <w:rFonts w:ascii="Verdana" w:hAnsi="Verdana"/>
          <w:bCs/>
          <w:sz w:val="20"/>
          <w:szCs w:val="24"/>
        </w:rPr>
        <w:t xml:space="preserve">the obligation </w:t>
      </w:r>
      <w:r w:rsidRPr="00B37972">
        <w:rPr>
          <w:rFonts w:ascii="Verdana" w:hAnsi="Verdana"/>
          <w:sz w:val="20"/>
          <w:szCs w:val="24"/>
        </w:rPr>
        <w:t>to recover from the judge or prosecutor concerned the amounts paid by the state in compensation for “judicial error”, caused by acting in “bad faith” or with “serious negligence”. GRECO was of the view that this could negatively impact the effectiveness of anti-corruption efforts because of its excessively intimidating effect on judges and prosecutors</w:t>
      </w:r>
      <w:r w:rsidR="00A71BC3" w:rsidRPr="00B37972">
        <w:rPr>
          <w:rFonts w:ascii="Verdana" w:hAnsi="Verdana"/>
          <w:sz w:val="20"/>
          <w:szCs w:val="24"/>
        </w:rPr>
        <w:t xml:space="preserve"> and their independence</w:t>
      </w:r>
      <w:r w:rsidRPr="00B37972">
        <w:rPr>
          <w:rFonts w:ascii="Verdana" w:hAnsi="Verdana"/>
          <w:sz w:val="20"/>
          <w:szCs w:val="24"/>
        </w:rPr>
        <w:t>.</w:t>
      </w:r>
    </w:p>
    <w:p w:rsidR="00663891" w:rsidRPr="00B37972" w:rsidRDefault="00663891" w:rsidP="00B37972">
      <w:pPr>
        <w:pStyle w:val="Listparagraf"/>
        <w:tabs>
          <w:tab w:val="left" w:pos="567"/>
        </w:tabs>
        <w:suppressAutoHyphens w:val="0"/>
        <w:spacing w:after="0" w:line="240" w:lineRule="auto"/>
        <w:ind w:left="0"/>
        <w:jc w:val="both"/>
        <w:rPr>
          <w:rFonts w:ascii="Verdana" w:hAnsi="Verdana"/>
          <w:sz w:val="20"/>
          <w:szCs w:val="24"/>
        </w:rPr>
      </w:pPr>
    </w:p>
    <w:p w:rsidR="00D00194" w:rsidRPr="00B4457B" w:rsidRDefault="002B3E4F" w:rsidP="00B37972">
      <w:pPr>
        <w:pStyle w:val="Listparagraf"/>
        <w:numPr>
          <w:ilvl w:val="0"/>
          <w:numId w:val="5"/>
        </w:numPr>
        <w:tabs>
          <w:tab w:val="left" w:pos="567"/>
        </w:tabs>
        <w:suppressAutoHyphens w:val="0"/>
        <w:spacing w:after="0" w:line="240" w:lineRule="auto"/>
        <w:ind w:left="0" w:firstLine="0"/>
        <w:jc w:val="both"/>
        <w:rPr>
          <w:rFonts w:ascii="Verdana" w:hAnsi="Verdana"/>
          <w:noProof/>
          <w:sz w:val="20"/>
        </w:rPr>
      </w:pPr>
      <w:r w:rsidRPr="00B37972">
        <w:rPr>
          <w:rFonts w:ascii="Verdana" w:hAnsi="Verdana"/>
          <w:noProof/>
          <w:sz w:val="20"/>
          <w:u w:val="single"/>
        </w:rPr>
        <w:t>The Romanian authorities</w:t>
      </w:r>
      <w:r w:rsidRPr="00B37972">
        <w:rPr>
          <w:rFonts w:ascii="Verdana" w:hAnsi="Verdana"/>
          <w:noProof/>
          <w:sz w:val="20"/>
        </w:rPr>
        <w:t xml:space="preserve"> report that the amendments have been </w:t>
      </w:r>
      <w:r w:rsidR="009F0856" w:rsidRPr="00B37972">
        <w:rPr>
          <w:rFonts w:ascii="Verdana" w:hAnsi="Verdana"/>
          <w:noProof/>
          <w:sz w:val="20"/>
        </w:rPr>
        <w:t xml:space="preserve">reconsidered to reflect </w:t>
      </w:r>
      <w:r w:rsidRPr="00B37972">
        <w:rPr>
          <w:rFonts w:ascii="Verdana" w:hAnsi="Verdana"/>
          <w:noProof/>
          <w:sz w:val="20"/>
        </w:rPr>
        <w:t xml:space="preserve">the </w:t>
      </w:r>
      <w:r w:rsidR="009F0856" w:rsidRPr="00B37972">
        <w:rPr>
          <w:rFonts w:ascii="Verdana" w:hAnsi="Verdana"/>
          <w:noProof/>
          <w:sz w:val="20"/>
        </w:rPr>
        <w:t>d</w:t>
      </w:r>
      <w:r w:rsidRPr="00B37972">
        <w:rPr>
          <w:rFonts w:ascii="Verdana" w:hAnsi="Verdana"/>
          <w:noProof/>
          <w:sz w:val="20"/>
        </w:rPr>
        <w:t xml:space="preserve">ecisions of the </w:t>
      </w:r>
      <w:r w:rsidR="009F0856" w:rsidRPr="00B37972">
        <w:rPr>
          <w:rFonts w:ascii="Verdana" w:hAnsi="Verdana"/>
          <w:noProof/>
          <w:sz w:val="20"/>
        </w:rPr>
        <w:t xml:space="preserve">Romanian </w:t>
      </w:r>
      <w:r w:rsidRPr="00B37972">
        <w:rPr>
          <w:rFonts w:ascii="Verdana" w:hAnsi="Verdana"/>
          <w:noProof/>
          <w:sz w:val="20"/>
        </w:rPr>
        <w:t>Constitutional Court (Decision no. 45/30.01.2018 and Decision no. 252/19.04.2018)</w:t>
      </w:r>
      <w:r w:rsidR="009F0856" w:rsidRPr="00B37972">
        <w:rPr>
          <w:rFonts w:ascii="Verdana" w:hAnsi="Verdana"/>
          <w:noProof/>
          <w:sz w:val="20"/>
        </w:rPr>
        <w:t xml:space="preserve"> and that</w:t>
      </w:r>
      <w:r w:rsidRPr="00B37972">
        <w:rPr>
          <w:rFonts w:ascii="Verdana" w:hAnsi="Verdana"/>
          <w:noProof/>
          <w:sz w:val="20"/>
        </w:rPr>
        <w:t xml:space="preserve"> the new regulation concerning the liability of judges and prosecutors for judicial errors </w:t>
      </w:r>
      <w:r w:rsidR="009F0856" w:rsidRPr="00B37972">
        <w:rPr>
          <w:rFonts w:ascii="Verdana" w:hAnsi="Verdana"/>
          <w:noProof/>
          <w:sz w:val="20"/>
        </w:rPr>
        <w:t>ha</w:t>
      </w:r>
      <w:r w:rsidR="00DC4E48" w:rsidRPr="00B37972">
        <w:rPr>
          <w:rFonts w:ascii="Verdana" w:hAnsi="Verdana"/>
          <w:noProof/>
          <w:sz w:val="20"/>
        </w:rPr>
        <w:t>s</w:t>
      </w:r>
      <w:r w:rsidR="009F0856" w:rsidRPr="00B37972">
        <w:rPr>
          <w:rFonts w:ascii="Verdana" w:hAnsi="Verdana"/>
          <w:noProof/>
          <w:sz w:val="20"/>
        </w:rPr>
        <w:t xml:space="preserve"> been adopted.</w:t>
      </w:r>
      <w:r w:rsidR="009F0052">
        <w:rPr>
          <w:rFonts w:ascii="Verdana" w:hAnsi="Verdana"/>
          <w:noProof/>
          <w:sz w:val="20"/>
        </w:rPr>
        <w:t xml:space="preserve"> </w:t>
      </w:r>
      <w:r w:rsidR="009F0052" w:rsidRPr="00B4457B">
        <w:rPr>
          <w:rFonts w:ascii="Verdana" w:hAnsi="Verdana"/>
          <w:noProof/>
          <w:sz w:val="20"/>
        </w:rPr>
        <w:t xml:space="preserve">The authorities also refer to Article 52, paragraph 3 of the Romanian Constitution, which states that </w:t>
      </w:r>
      <w:r w:rsidR="009F0052" w:rsidRPr="00B4457B">
        <w:rPr>
          <w:rFonts w:ascii="Verdana" w:hAnsi="Verdana"/>
          <w:i/>
          <w:noProof/>
          <w:sz w:val="20"/>
        </w:rPr>
        <w:t>“</w:t>
      </w:r>
      <w:r w:rsidR="009F0052" w:rsidRPr="00B4457B">
        <w:rPr>
          <w:rFonts w:ascii="Verdana" w:hAnsi="Verdana"/>
          <w:i/>
          <w:sz w:val="20"/>
          <w:szCs w:val="24"/>
        </w:rPr>
        <w:t>The liability of the State is established under the law and does not remove the liability of the magistrates who have exercised their duties in bad faith or with serious negligence.”</w:t>
      </w:r>
      <w:r w:rsidR="009F0856" w:rsidRPr="00B4457B">
        <w:rPr>
          <w:rFonts w:ascii="Verdana" w:hAnsi="Verdana"/>
          <w:noProof/>
          <w:sz w:val="20"/>
        </w:rPr>
        <w:t xml:space="preserve"> </w:t>
      </w:r>
      <w:r w:rsidR="009F0052" w:rsidRPr="00B4457B">
        <w:rPr>
          <w:rFonts w:ascii="Verdana" w:hAnsi="Verdana"/>
          <w:noProof/>
          <w:sz w:val="20"/>
        </w:rPr>
        <w:t xml:space="preserve">Thus, </w:t>
      </w:r>
      <w:r w:rsidR="00D00194" w:rsidRPr="00B4457B">
        <w:rPr>
          <w:rFonts w:ascii="Verdana" w:hAnsi="Verdana"/>
          <w:noProof/>
          <w:sz w:val="20"/>
        </w:rPr>
        <w:t>Article 96 of Law no. 303/2004 on the statute of judges and prosecutors reads as follows:</w:t>
      </w:r>
      <w:r w:rsidR="00BB1756" w:rsidRPr="00B4457B">
        <w:rPr>
          <w:rStyle w:val="Referinnotdesubsol"/>
          <w:rFonts w:ascii="Verdana" w:hAnsi="Verdana"/>
          <w:noProof/>
          <w:sz w:val="20"/>
        </w:rPr>
        <w:footnoteReference w:id="21"/>
      </w:r>
      <w:r w:rsidR="00D00194" w:rsidRPr="00B4457B">
        <w:rPr>
          <w:rFonts w:ascii="Verdana" w:hAnsi="Verdana"/>
          <w:noProof/>
          <w:sz w:val="20"/>
        </w:rPr>
        <w:t xml:space="preserve"> </w:t>
      </w:r>
    </w:p>
    <w:p w:rsidR="00D00194" w:rsidRPr="00B37972" w:rsidRDefault="00D00194" w:rsidP="00B37972">
      <w:pPr>
        <w:pStyle w:val="Listparagraf"/>
        <w:tabs>
          <w:tab w:val="left" w:pos="567"/>
        </w:tabs>
        <w:suppressAutoHyphens w:val="0"/>
        <w:spacing w:after="0" w:line="240" w:lineRule="auto"/>
        <w:ind w:left="0"/>
        <w:jc w:val="both"/>
        <w:rPr>
          <w:rFonts w:ascii="Verdana" w:hAnsi="Verdana"/>
          <w:noProof/>
          <w:sz w:val="20"/>
        </w:rPr>
      </w:pPr>
    </w:p>
    <w:tbl>
      <w:tblPr>
        <w:tblStyle w:val="Tabelgril"/>
        <w:tblW w:w="0" w:type="auto"/>
        <w:tblInd w:w="108" w:type="dxa"/>
        <w:tblLook w:val="04A0" w:firstRow="1" w:lastRow="0" w:firstColumn="1" w:lastColumn="0" w:noHBand="0" w:noVBand="1"/>
      </w:tblPr>
      <w:tblGrid>
        <w:gridCol w:w="9096"/>
      </w:tblGrid>
      <w:tr w:rsidR="00D00194" w:rsidRPr="00B37972" w:rsidTr="00B4457B">
        <w:tc>
          <w:tcPr>
            <w:tcW w:w="9214" w:type="dxa"/>
          </w:tcPr>
          <w:p w:rsidR="003719A8" w:rsidRPr="00B37972" w:rsidRDefault="003719A8" w:rsidP="00B37972">
            <w:pPr>
              <w:spacing w:after="0" w:line="240" w:lineRule="auto"/>
              <w:ind w:left="176" w:right="176"/>
              <w:jc w:val="both"/>
              <w:rPr>
                <w:rFonts w:ascii="Verdana" w:hAnsi="Verdana"/>
                <w:b/>
                <w:noProof/>
                <w:sz w:val="16"/>
              </w:rPr>
            </w:pPr>
          </w:p>
          <w:p w:rsidR="00D00194" w:rsidRPr="00B37972" w:rsidRDefault="00D00194" w:rsidP="00B37972">
            <w:pPr>
              <w:spacing w:after="0" w:line="240" w:lineRule="auto"/>
              <w:ind w:left="176" w:right="176"/>
              <w:jc w:val="both"/>
              <w:rPr>
                <w:rFonts w:ascii="Verdana" w:hAnsi="Verdana"/>
                <w:b/>
                <w:noProof/>
                <w:sz w:val="16"/>
              </w:rPr>
            </w:pPr>
            <w:r w:rsidRPr="00B37972">
              <w:rPr>
                <w:rFonts w:ascii="Verdana" w:hAnsi="Verdana"/>
                <w:b/>
                <w:noProof/>
                <w:sz w:val="16"/>
              </w:rPr>
              <w:t xml:space="preserve">Article 96 </w:t>
            </w:r>
          </w:p>
          <w:p w:rsidR="00D00194" w:rsidRPr="00B37972" w:rsidRDefault="00D00194" w:rsidP="00B37972">
            <w:pPr>
              <w:spacing w:after="0" w:line="240" w:lineRule="auto"/>
              <w:ind w:left="176" w:right="176"/>
              <w:jc w:val="both"/>
              <w:rPr>
                <w:rFonts w:ascii="Verdana" w:hAnsi="Verdana"/>
                <w:i/>
                <w:noProof/>
                <w:sz w:val="16"/>
              </w:rPr>
            </w:pPr>
            <w:r w:rsidRPr="00B37972">
              <w:rPr>
                <w:rFonts w:ascii="Verdana" w:hAnsi="Verdana"/>
                <w:i/>
                <w:noProof/>
                <w:sz w:val="16"/>
              </w:rPr>
              <w:t>"Art. 96 - (1) The State shall be material liable for the damage caused by judicial errors.</w:t>
            </w:r>
          </w:p>
          <w:p w:rsidR="00D00194" w:rsidRPr="00B37972" w:rsidRDefault="00D00194" w:rsidP="00B37972">
            <w:pPr>
              <w:spacing w:after="0" w:line="240" w:lineRule="auto"/>
              <w:ind w:left="176" w:right="176"/>
              <w:jc w:val="both"/>
              <w:rPr>
                <w:rFonts w:ascii="Verdana" w:hAnsi="Verdana"/>
                <w:i/>
                <w:noProof/>
                <w:sz w:val="16"/>
              </w:rPr>
            </w:pPr>
            <w:r w:rsidRPr="00B37972">
              <w:rPr>
                <w:rFonts w:ascii="Verdana" w:hAnsi="Verdana"/>
                <w:i/>
                <w:noProof/>
                <w:sz w:val="16"/>
              </w:rPr>
              <w:t>(2) The liability of the state is established under the law and does not remove the liability of judges and prosecutors who, even if they are no longer in office, have exercised their function in bad faith or with serious negligence, as defined in art. 99</w:t>
            </w:r>
            <w:r w:rsidRPr="00B37972">
              <w:rPr>
                <w:rFonts w:ascii="Verdana" w:hAnsi="Verdana"/>
                <w:i/>
                <w:noProof/>
                <w:sz w:val="16"/>
                <w:vertAlign w:val="superscript"/>
              </w:rPr>
              <w:t>1</w:t>
            </w:r>
            <w:r w:rsidRPr="00B37972">
              <w:rPr>
                <w:rFonts w:ascii="Verdana" w:hAnsi="Verdana"/>
                <w:i/>
                <w:noProof/>
                <w:sz w:val="16"/>
              </w:rPr>
              <w:t>.</w:t>
            </w:r>
          </w:p>
          <w:p w:rsidR="00D00194" w:rsidRPr="00B37972" w:rsidRDefault="00D00194" w:rsidP="00B37972">
            <w:pPr>
              <w:spacing w:after="0" w:line="240" w:lineRule="auto"/>
              <w:ind w:left="176" w:right="176"/>
              <w:jc w:val="both"/>
              <w:rPr>
                <w:rFonts w:ascii="Verdana" w:hAnsi="Verdana"/>
                <w:i/>
                <w:noProof/>
                <w:sz w:val="16"/>
              </w:rPr>
            </w:pPr>
            <w:r w:rsidRPr="00B37972">
              <w:rPr>
                <w:rFonts w:ascii="Verdana" w:hAnsi="Verdana"/>
                <w:i/>
                <w:noProof/>
                <w:sz w:val="16"/>
              </w:rPr>
              <w:t>(3) There is a judicial error when:</w:t>
            </w:r>
          </w:p>
          <w:p w:rsidR="00D00194" w:rsidRPr="00B37972" w:rsidRDefault="00D00194" w:rsidP="00B37972">
            <w:pPr>
              <w:spacing w:after="0" w:line="240" w:lineRule="auto"/>
              <w:ind w:left="176" w:right="176"/>
              <w:jc w:val="both"/>
              <w:rPr>
                <w:rFonts w:ascii="Verdana" w:hAnsi="Verdana"/>
                <w:i/>
                <w:noProof/>
                <w:sz w:val="16"/>
              </w:rPr>
            </w:pPr>
            <w:r w:rsidRPr="00B37972">
              <w:rPr>
                <w:rFonts w:ascii="Verdana" w:hAnsi="Verdana"/>
                <w:i/>
                <w:noProof/>
                <w:sz w:val="16"/>
              </w:rPr>
              <w:t>a) in the course of the trial, it was ordered to carry out procedural acts with the obvious violation of the substantive and procedural law provisions, which seriously violated the rights, freedoms and legitimate interests of the person, causing an injury which could not be remedied by an ordinary or extraordinary remedy;</w:t>
            </w:r>
          </w:p>
          <w:p w:rsidR="00D00194" w:rsidRPr="00B37972" w:rsidRDefault="00D00194" w:rsidP="00B37972">
            <w:pPr>
              <w:spacing w:after="0" w:line="240" w:lineRule="auto"/>
              <w:ind w:left="176" w:right="176"/>
              <w:jc w:val="both"/>
              <w:rPr>
                <w:rFonts w:ascii="Verdana" w:hAnsi="Verdana"/>
                <w:i/>
                <w:noProof/>
                <w:sz w:val="16"/>
              </w:rPr>
            </w:pPr>
            <w:r w:rsidRPr="00B37972">
              <w:rPr>
                <w:rFonts w:ascii="Verdana" w:hAnsi="Verdana"/>
                <w:i/>
                <w:noProof/>
                <w:sz w:val="16"/>
              </w:rPr>
              <w:t xml:space="preserve">(b) when a final decision is pronounced manifestly contrary to the law or factual situation resulting from the evidence administered, which seriously affected the rights, freedoms and legitimate interests of the person, an injury that could not be remedied by an ordinary or extraordinary remedy. </w:t>
            </w:r>
          </w:p>
          <w:p w:rsidR="00D00194" w:rsidRPr="00B37972" w:rsidRDefault="00D00194" w:rsidP="00B37972">
            <w:pPr>
              <w:spacing w:after="0" w:line="240" w:lineRule="auto"/>
              <w:ind w:left="176" w:right="176"/>
              <w:jc w:val="both"/>
              <w:rPr>
                <w:rFonts w:ascii="Verdana" w:hAnsi="Verdana"/>
                <w:i/>
                <w:noProof/>
                <w:sz w:val="16"/>
              </w:rPr>
            </w:pPr>
            <w:r w:rsidRPr="00B37972">
              <w:rPr>
                <w:rFonts w:ascii="Verdana" w:hAnsi="Verdana"/>
                <w:i/>
                <w:noProof/>
                <w:sz w:val="16"/>
              </w:rPr>
              <w:t>(4) Specific cases where there is a judicial error may be regulated by the Civil Procedure Code and by the Criminal Procedure Code, as well as by other special laws.</w:t>
            </w:r>
          </w:p>
          <w:p w:rsidR="00D00194" w:rsidRPr="00B37972" w:rsidRDefault="00D00194" w:rsidP="00B37972">
            <w:pPr>
              <w:spacing w:after="0" w:line="240" w:lineRule="auto"/>
              <w:ind w:left="176" w:right="176"/>
              <w:jc w:val="both"/>
              <w:rPr>
                <w:rFonts w:ascii="Verdana" w:hAnsi="Verdana"/>
                <w:i/>
                <w:noProof/>
                <w:sz w:val="16"/>
              </w:rPr>
            </w:pPr>
            <w:r w:rsidRPr="00B37972">
              <w:rPr>
                <w:rFonts w:ascii="Verdana" w:hAnsi="Verdana"/>
                <w:i/>
                <w:noProof/>
                <w:sz w:val="16"/>
              </w:rPr>
              <w:t>(5) In order to be compensated for the damage, the injured person can only bring an action against the state represented by the Ministry of Public Finance. The jurisdiction for solving the civil action shall lie with the tribunal in whose teritory the plaintiff is domiciled.</w:t>
            </w:r>
          </w:p>
          <w:p w:rsidR="00D00194" w:rsidRPr="00B37972" w:rsidRDefault="00D00194" w:rsidP="00B37972">
            <w:pPr>
              <w:spacing w:after="0" w:line="240" w:lineRule="auto"/>
              <w:ind w:left="176" w:right="176"/>
              <w:jc w:val="both"/>
              <w:rPr>
                <w:rFonts w:ascii="Verdana" w:hAnsi="Verdana"/>
                <w:i/>
                <w:noProof/>
                <w:sz w:val="16"/>
              </w:rPr>
            </w:pPr>
            <w:r w:rsidRPr="00B37972">
              <w:rPr>
                <w:rFonts w:ascii="Verdana" w:hAnsi="Verdana"/>
                <w:i/>
                <w:noProof/>
                <w:sz w:val="16"/>
              </w:rPr>
              <w:t>(6) The payment by the state of the sums due as compensation shall be made within a maximum of one year from the date of the communication of the final court decision.</w:t>
            </w:r>
          </w:p>
          <w:p w:rsidR="00D00194" w:rsidRPr="00B37972" w:rsidRDefault="00D00194" w:rsidP="00B37972">
            <w:pPr>
              <w:spacing w:after="0" w:line="240" w:lineRule="auto"/>
              <w:ind w:left="176" w:right="176"/>
              <w:jc w:val="both"/>
              <w:rPr>
                <w:rFonts w:ascii="Verdana" w:hAnsi="Verdana"/>
                <w:i/>
                <w:noProof/>
                <w:sz w:val="16"/>
              </w:rPr>
            </w:pPr>
            <w:r w:rsidRPr="00B37972">
              <w:rPr>
                <w:rFonts w:ascii="Verdana" w:hAnsi="Verdana"/>
                <w:i/>
                <w:noProof/>
                <w:sz w:val="16"/>
              </w:rPr>
              <w:t>(7) Within two months from the communication of the final court decision pronounced in the action provided in paragraph (6), the Ministry of Public Finance shall notify the Judicial Inspection to verify whether the judicial error was caused by the judge or prosecutor as a result of the performance of the office in bad faith or with serious negligence, according to the procedure provided by art. 74</w:t>
            </w:r>
            <w:r w:rsidRPr="00B37972">
              <w:rPr>
                <w:rFonts w:ascii="Verdana" w:hAnsi="Verdana"/>
                <w:i/>
                <w:noProof/>
                <w:sz w:val="16"/>
                <w:vertAlign w:val="superscript"/>
              </w:rPr>
              <w:t>1</w:t>
            </w:r>
            <w:r w:rsidRPr="00B37972">
              <w:rPr>
                <w:rFonts w:ascii="Verdana" w:hAnsi="Verdana"/>
                <w:i/>
                <w:noProof/>
                <w:sz w:val="16"/>
              </w:rPr>
              <w:t xml:space="preserve"> of Law no. 317/2004, republished, as subsequently amended.</w:t>
            </w:r>
          </w:p>
          <w:p w:rsidR="00D00194" w:rsidRPr="00B37972" w:rsidRDefault="00D00194" w:rsidP="00B37972">
            <w:pPr>
              <w:spacing w:after="0" w:line="240" w:lineRule="auto"/>
              <w:ind w:left="176" w:right="176"/>
              <w:jc w:val="both"/>
              <w:rPr>
                <w:rFonts w:ascii="Verdana" w:hAnsi="Verdana"/>
                <w:i/>
                <w:noProof/>
                <w:sz w:val="16"/>
              </w:rPr>
            </w:pPr>
            <w:r w:rsidRPr="00B37972">
              <w:rPr>
                <w:rFonts w:ascii="Verdana" w:hAnsi="Verdana"/>
                <w:i/>
                <w:noProof/>
                <w:sz w:val="16"/>
              </w:rPr>
              <w:t>(8) The State, through the Ministry of Public Finance, shall exercise the action in regress against the judge or the prosecutor if, following the consultative report of the Judicial Inspection stipulated in para. (7) and its own assessment, considers that the judicial error was caused as a result of the exercise of office in bad faith or with serious negligence by the judge or prosecutor. The deadline for exercising the action in regress is 6 months from the date of the communication of the Judicial Inspection report.</w:t>
            </w:r>
          </w:p>
          <w:p w:rsidR="00D00194" w:rsidRPr="00B37972" w:rsidRDefault="00D00194" w:rsidP="00B37972">
            <w:pPr>
              <w:spacing w:after="0" w:line="240" w:lineRule="auto"/>
              <w:ind w:left="176" w:right="176"/>
              <w:jc w:val="both"/>
              <w:rPr>
                <w:rFonts w:ascii="Verdana" w:hAnsi="Verdana"/>
                <w:i/>
                <w:noProof/>
                <w:sz w:val="16"/>
              </w:rPr>
            </w:pPr>
            <w:r w:rsidRPr="00B37972">
              <w:rPr>
                <w:rFonts w:ascii="Verdana" w:hAnsi="Verdana"/>
                <w:i/>
                <w:noProof/>
                <w:sz w:val="16"/>
              </w:rPr>
              <w:t>(9) The jurisdiction to solve the action in regress shall, in the first instance, rest with the civil section of the court of appeal from the defendant's domicile. If the judge or prosecutor against whom the action in regress is taken exercises his powers in this court or in the prosecutor's office attached to it, the action in regress shall be solved by a close court of appeal, at the choice of the plaintiff.</w:t>
            </w:r>
          </w:p>
          <w:p w:rsidR="00D00194" w:rsidRPr="00B37972" w:rsidRDefault="00D00194" w:rsidP="00B37972">
            <w:pPr>
              <w:spacing w:after="0" w:line="240" w:lineRule="auto"/>
              <w:ind w:left="176" w:right="176"/>
              <w:jc w:val="both"/>
              <w:rPr>
                <w:rFonts w:ascii="Verdana" w:hAnsi="Verdana"/>
                <w:i/>
                <w:noProof/>
                <w:sz w:val="16"/>
              </w:rPr>
            </w:pPr>
            <w:r w:rsidRPr="00B37972">
              <w:rPr>
                <w:rFonts w:ascii="Verdana" w:hAnsi="Verdana"/>
                <w:i/>
                <w:noProof/>
                <w:sz w:val="16"/>
              </w:rPr>
              <w:t>(10) Against the decision pronounced in accordance with para. (9) the appeal may be exercised to the appropriate section of the High Court of Cassation and Justice.</w:t>
            </w:r>
          </w:p>
          <w:p w:rsidR="00D00194" w:rsidRPr="00B37972" w:rsidRDefault="00D00194" w:rsidP="00B37972">
            <w:pPr>
              <w:spacing w:after="0" w:line="240" w:lineRule="auto"/>
              <w:ind w:left="176" w:right="176"/>
              <w:jc w:val="both"/>
              <w:rPr>
                <w:rFonts w:ascii="Verdana" w:hAnsi="Verdana"/>
                <w:noProof/>
                <w:sz w:val="16"/>
              </w:rPr>
            </w:pPr>
            <w:r w:rsidRPr="00B37972">
              <w:rPr>
                <w:rFonts w:ascii="Verdana" w:hAnsi="Verdana"/>
                <w:i/>
                <w:noProof/>
                <w:sz w:val="16"/>
              </w:rPr>
              <w:t>(11) The Superior Council of Magistracy shall establish, within 6 months from the entry into force of this law, conditions, deadlines and procedures for compulsory professional insurance of judges and prosecutors. The insurance shall be fully covered by the judge or prosecutor, and its absence shall not delay, diminish or remove the civil liability of the judge or prosecutor for the judicial error caused by the performance of the office in bad faith or with serious negligence.</w:t>
            </w:r>
            <w:r w:rsidRPr="00B37972">
              <w:rPr>
                <w:rFonts w:ascii="Verdana" w:hAnsi="Verdana"/>
                <w:noProof/>
                <w:sz w:val="16"/>
              </w:rPr>
              <w:t>”</w:t>
            </w:r>
          </w:p>
          <w:p w:rsidR="003719A8" w:rsidRPr="00B37972" w:rsidRDefault="003719A8" w:rsidP="00B37972">
            <w:pPr>
              <w:spacing w:after="0" w:line="240" w:lineRule="auto"/>
              <w:ind w:left="176" w:right="176"/>
              <w:jc w:val="both"/>
              <w:rPr>
                <w:rFonts w:ascii="Verdana" w:hAnsi="Verdana"/>
                <w:i/>
                <w:noProof/>
                <w:sz w:val="16"/>
              </w:rPr>
            </w:pPr>
          </w:p>
        </w:tc>
      </w:tr>
    </w:tbl>
    <w:p w:rsidR="00D00194" w:rsidRPr="00B37972" w:rsidRDefault="00D00194" w:rsidP="00B37972">
      <w:pPr>
        <w:pStyle w:val="Listparagraf"/>
        <w:tabs>
          <w:tab w:val="left" w:pos="567"/>
        </w:tabs>
        <w:suppressAutoHyphens w:val="0"/>
        <w:spacing w:after="0" w:line="240" w:lineRule="auto"/>
        <w:ind w:left="0"/>
        <w:jc w:val="both"/>
        <w:rPr>
          <w:rFonts w:ascii="Verdana" w:hAnsi="Verdana"/>
          <w:noProof/>
          <w:sz w:val="20"/>
        </w:rPr>
      </w:pPr>
    </w:p>
    <w:p w:rsidR="002B3E4F" w:rsidRPr="00B37972" w:rsidRDefault="00D00194" w:rsidP="00B37972">
      <w:pPr>
        <w:pStyle w:val="Listparagraf"/>
        <w:numPr>
          <w:ilvl w:val="0"/>
          <w:numId w:val="5"/>
        </w:numPr>
        <w:tabs>
          <w:tab w:val="left" w:pos="567"/>
        </w:tabs>
        <w:suppressAutoHyphens w:val="0"/>
        <w:spacing w:after="0" w:line="240" w:lineRule="auto"/>
        <w:ind w:left="0" w:firstLine="0"/>
        <w:jc w:val="both"/>
        <w:rPr>
          <w:rFonts w:ascii="Verdana" w:hAnsi="Verdana"/>
          <w:noProof/>
          <w:sz w:val="20"/>
        </w:rPr>
      </w:pPr>
      <w:r w:rsidRPr="00B37972">
        <w:rPr>
          <w:rFonts w:ascii="Verdana" w:hAnsi="Verdana"/>
          <w:noProof/>
          <w:sz w:val="20"/>
        </w:rPr>
        <w:t xml:space="preserve">Thus, </w:t>
      </w:r>
      <w:r w:rsidR="009F0856" w:rsidRPr="00B37972">
        <w:rPr>
          <w:rFonts w:ascii="Verdana" w:hAnsi="Verdana"/>
          <w:noProof/>
          <w:sz w:val="20"/>
        </w:rPr>
        <w:t xml:space="preserve">the </w:t>
      </w:r>
      <w:r w:rsidR="002B3E4F" w:rsidRPr="00B37972">
        <w:rPr>
          <w:rFonts w:ascii="Verdana" w:hAnsi="Verdana"/>
          <w:noProof/>
          <w:sz w:val="20"/>
        </w:rPr>
        <w:t xml:space="preserve">liability of the state does not </w:t>
      </w:r>
      <w:r w:rsidR="009F0856" w:rsidRPr="00B37972">
        <w:rPr>
          <w:rFonts w:ascii="Verdana" w:hAnsi="Verdana"/>
          <w:noProof/>
          <w:sz w:val="20"/>
        </w:rPr>
        <w:t xml:space="preserve">absolve </w:t>
      </w:r>
      <w:r w:rsidR="002B3E4F" w:rsidRPr="00B37972">
        <w:rPr>
          <w:rFonts w:ascii="Verdana" w:hAnsi="Verdana"/>
          <w:noProof/>
          <w:sz w:val="20"/>
        </w:rPr>
        <w:t>judges and prosecutors</w:t>
      </w:r>
      <w:r w:rsidR="009F0856" w:rsidRPr="00B37972">
        <w:rPr>
          <w:rFonts w:ascii="Verdana" w:hAnsi="Verdana"/>
          <w:noProof/>
          <w:sz w:val="20"/>
        </w:rPr>
        <w:t xml:space="preserve"> fr</w:t>
      </w:r>
      <w:r w:rsidR="00DC4E48" w:rsidRPr="00B37972">
        <w:rPr>
          <w:rFonts w:ascii="Verdana" w:hAnsi="Verdana"/>
          <w:noProof/>
          <w:sz w:val="20"/>
        </w:rPr>
        <w:t>om</w:t>
      </w:r>
      <w:r w:rsidR="009F0856" w:rsidRPr="00B37972">
        <w:rPr>
          <w:rFonts w:ascii="Verdana" w:hAnsi="Verdana"/>
          <w:noProof/>
          <w:sz w:val="20"/>
        </w:rPr>
        <w:t xml:space="preserve"> being liable,</w:t>
      </w:r>
      <w:r w:rsidR="005049E6" w:rsidRPr="00B37972">
        <w:rPr>
          <w:rFonts w:ascii="Verdana" w:hAnsi="Verdana"/>
          <w:noProof/>
          <w:sz w:val="20"/>
        </w:rPr>
        <w:t xml:space="preserve"> </w:t>
      </w:r>
      <w:r w:rsidR="002B3E4F" w:rsidRPr="00B37972">
        <w:rPr>
          <w:rFonts w:ascii="Verdana" w:hAnsi="Verdana"/>
          <w:noProof/>
          <w:sz w:val="20"/>
        </w:rPr>
        <w:t xml:space="preserve">even if they are no longer in office, </w:t>
      </w:r>
      <w:r w:rsidR="009F0856" w:rsidRPr="00B37972">
        <w:rPr>
          <w:rFonts w:ascii="Verdana" w:hAnsi="Verdana"/>
          <w:noProof/>
          <w:sz w:val="20"/>
        </w:rPr>
        <w:t xml:space="preserve">for having </w:t>
      </w:r>
      <w:r w:rsidR="002B3E4F" w:rsidRPr="00B37972">
        <w:rPr>
          <w:rFonts w:ascii="Verdana" w:hAnsi="Verdana"/>
          <w:noProof/>
          <w:sz w:val="20"/>
        </w:rPr>
        <w:t xml:space="preserve">exercised their function in bad faith or with serious negligence, as defined in </w:t>
      </w:r>
      <w:r w:rsidR="009F0856" w:rsidRPr="00B37972">
        <w:rPr>
          <w:rFonts w:ascii="Verdana" w:hAnsi="Verdana"/>
          <w:noProof/>
          <w:sz w:val="20"/>
        </w:rPr>
        <w:t>A</w:t>
      </w:r>
      <w:r w:rsidR="002B3E4F" w:rsidRPr="00B37972">
        <w:rPr>
          <w:rFonts w:ascii="Verdana" w:hAnsi="Verdana"/>
          <w:noProof/>
          <w:sz w:val="20"/>
        </w:rPr>
        <w:t>rt</w:t>
      </w:r>
      <w:r w:rsidR="009F0856" w:rsidRPr="00B37972">
        <w:rPr>
          <w:rFonts w:ascii="Verdana" w:hAnsi="Verdana"/>
          <w:noProof/>
          <w:sz w:val="20"/>
        </w:rPr>
        <w:t>icle</w:t>
      </w:r>
      <w:r w:rsidR="002B3E4F" w:rsidRPr="00B37972">
        <w:rPr>
          <w:rFonts w:ascii="Verdana" w:hAnsi="Verdana"/>
          <w:noProof/>
          <w:sz w:val="20"/>
        </w:rPr>
        <w:t xml:space="preserve"> 99</w:t>
      </w:r>
      <w:r w:rsidR="002B3E4F" w:rsidRPr="00B37972">
        <w:rPr>
          <w:rFonts w:ascii="Verdana" w:hAnsi="Verdana"/>
          <w:noProof/>
          <w:sz w:val="20"/>
          <w:vertAlign w:val="superscript"/>
        </w:rPr>
        <w:t>1</w:t>
      </w:r>
      <w:r w:rsidR="009F0856" w:rsidRPr="00B37972">
        <w:rPr>
          <w:rFonts w:ascii="Verdana" w:hAnsi="Verdana"/>
          <w:noProof/>
          <w:sz w:val="20"/>
          <w:vertAlign w:val="superscript"/>
        </w:rPr>
        <w:t xml:space="preserve"> </w:t>
      </w:r>
      <w:r w:rsidR="009F0856" w:rsidRPr="00B37972">
        <w:rPr>
          <w:rFonts w:ascii="Verdana" w:hAnsi="Verdana"/>
          <w:noProof/>
          <w:sz w:val="20"/>
        </w:rPr>
        <w:t>of Law no. 303/2004 on the statute of judges and prosecutors. Article 99</w:t>
      </w:r>
      <w:r w:rsidR="009F0856" w:rsidRPr="00B37972">
        <w:rPr>
          <w:rFonts w:ascii="Verdana" w:hAnsi="Verdana"/>
          <w:noProof/>
          <w:sz w:val="20"/>
          <w:vertAlign w:val="superscript"/>
        </w:rPr>
        <w:t>1</w:t>
      </w:r>
      <w:r w:rsidR="009F0856" w:rsidRPr="00B37972">
        <w:rPr>
          <w:rFonts w:ascii="Verdana" w:hAnsi="Verdana"/>
          <w:noProof/>
          <w:sz w:val="20"/>
        </w:rPr>
        <w:t xml:space="preserve"> reads as follows:</w:t>
      </w:r>
      <w:r w:rsidRPr="00B37972">
        <w:rPr>
          <w:rStyle w:val="Referinnotdesubsol"/>
          <w:rFonts w:ascii="Verdana" w:hAnsi="Verdana"/>
          <w:noProof/>
          <w:sz w:val="20"/>
        </w:rPr>
        <w:footnoteReference w:id="22"/>
      </w:r>
    </w:p>
    <w:p w:rsidR="00D00194" w:rsidRPr="00B37972" w:rsidRDefault="00D00194" w:rsidP="00B37972">
      <w:pPr>
        <w:suppressAutoHyphens w:val="0"/>
        <w:spacing w:after="0" w:line="240" w:lineRule="auto"/>
        <w:rPr>
          <w:rFonts w:ascii="Verdana" w:hAnsi="Verdana"/>
          <w:noProof/>
          <w:sz w:val="20"/>
        </w:rPr>
      </w:pPr>
    </w:p>
    <w:tbl>
      <w:tblPr>
        <w:tblStyle w:val="Tabelgril"/>
        <w:tblW w:w="0" w:type="auto"/>
        <w:tblInd w:w="108" w:type="dxa"/>
        <w:tblLook w:val="04A0" w:firstRow="1" w:lastRow="0" w:firstColumn="1" w:lastColumn="0" w:noHBand="0" w:noVBand="1"/>
      </w:tblPr>
      <w:tblGrid>
        <w:gridCol w:w="9096"/>
      </w:tblGrid>
      <w:tr w:rsidR="002B3E4F" w:rsidRPr="00B37972" w:rsidTr="00B4457B">
        <w:tc>
          <w:tcPr>
            <w:tcW w:w="9214" w:type="dxa"/>
          </w:tcPr>
          <w:p w:rsidR="003719A8" w:rsidRPr="00B37972" w:rsidRDefault="003719A8" w:rsidP="00B37972">
            <w:pPr>
              <w:spacing w:after="0" w:line="240" w:lineRule="auto"/>
              <w:ind w:left="176" w:right="176"/>
              <w:rPr>
                <w:rFonts w:ascii="Verdana" w:hAnsi="Verdana"/>
                <w:b/>
                <w:noProof/>
                <w:sz w:val="16"/>
              </w:rPr>
            </w:pPr>
          </w:p>
          <w:p w:rsidR="002B3E4F" w:rsidRPr="00B37972" w:rsidRDefault="002B3E4F" w:rsidP="00B37972">
            <w:pPr>
              <w:spacing w:after="0" w:line="240" w:lineRule="auto"/>
              <w:ind w:left="176" w:right="176"/>
              <w:rPr>
                <w:rFonts w:ascii="Verdana" w:hAnsi="Verdana"/>
                <w:b/>
                <w:noProof/>
                <w:sz w:val="16"/>
              </w:rPr>
            </w:pPr>
            <w:r w:rsidRPr="00B37972">
              <w:rPr>
                <w:rFonts w:ascii="Verdana" w:hAnsi="Verdana"/>
                <w:b/>
                <w:noProof/>
                <w:sz w:val="16"/>
              </w:rPr>
              <w:t>Art</w:t>
            </w:r>
            <w:r w:rsidR="009F0856" w:rsidRPr="00B37972">
              <w:rPr>
                <w:rFonts w:ascii="Verdana" w:hAnsi="Verdana"/>
                <w:b/>
                <w:noProof/>
                <w:sz w:val="16"/>
              </w:rPr>
              <w:t>icle</w:t>
            </w:r>
            <w:r w:rsidRPr="00B37972">
              <w:rPr>
                <w:rFonts w:ascii="Verdana" w:hAnsi="Verdana"/>
                <w:b/>
                <w:noProof/>
                <w:sz w:val="16"/>
              </w:rPr>
              <w:t xml:space="preserve"> 99</w:t>
            </w:r>
            <w:r w:rsidRPr="00B37972">
              <w:rPr>
                <w:rFonts w:ascii="Verdana" w:hAnsi="Verdana"/>
                <w:b/>
                <w:noProof/>
                <w:sz w:val="16"/>
                <w:vertAlign w:val="superscript"/>
              </w:rPr>
              <w:t xml:space="preserve">1 </w:t>
            </w:r>
          </w:p>
          <w:p w:rsidR="002B3E4F" w:rsidRPr="00B37972" w:rsidRDefault="002B3E4F" w:rsidP="00B37972">
            <w:pPr>
              <w:spacing w:after="0" w:line="240" w:lineRule="auto"/>
              <w:ind w:left="176" w:right="176"/>
              <w:jc w:val="both"/>
              <w:rPr>
                <w:rFonts w:ascii="Verdana" w:hAnsi="Verdana"/>
                <w:i/>
                <w:noProof/>
                <w:sz w:val="16"/>
              </w:rPr>
            </w:pPr>
            <w:r w:rsidRPr="00B37972">
              <w:rPr>
                <w:rFonts w:ascii="Verdana" w:hAnsi="Verdana"/>
                <w:i/>
                <w:noProof/>
                <w:sz w:val="16"/>
              </w:rPr>
              <w:t>”(1) There is bad faith when the judge or prosecutor knowingly violates the rules of material or procedural law, pursuing or accepting the injury of a person.</w:t>
            </w:r>
          </w:p>
          <w:p w:rsidR="002B3E4F" w:rsidRPr="00B37972" w:rsidRDefault="002B3E4F" w:rsidP="00B37972">
            <w:pPr>
              <w:spacing w:after="0" w:line="240" w:lineRule="auto"/>
              <w:ind w:left="176" w:right="176"/>
              <w:jc w:val="both"/>
              <w:rPr>
                <w:rFonts w:ascii="Verdana" w:hAnsi="Verdana"/>
                <w:i/>
                <w:noProof/>
                <w:sz w:val="16"/>
              </w:rPr>
            </w:pPr>
            <w:r w:rsidRPr="00B37972">
              <w:rPr>
                <w:rFonts w:ascii="Verdana" w:hAnsi="Verdana"/>
                <w:i/>
                <w:noProof/>
                <w:sz w:val="16"/>
              </w:rPr>
              <w:t>(2) There is serious negligence when the judge or prosecutor disregards by fault, seriously, undoubtedly and inexcusably, the rules of material or procedural law.”</w:t>
            </w:r>
          </w:p>
          <w:p w:rsidR="003719A8" w:rsidRPr="00B37972" w:rsidRDefault="003719A8" w:rsidP="00B37972">
            <w:pPr>
              <w:spacing w:after="0" w:line="240" w:lineRule="auto"/>
              <w:ind w:left="176" w:right="176"/>
              <w:jc w:val="both"/>
              <w:rPr>
                <w:rFonts w:ascii="Verdana" w:hAnsi="Verdana"/>
                <w:noProof/>
                <w:sz w:val="16"/>
              </w:rPr>
            </w:pPr>
          </w:p>
        </w:tc>
      </w:tr>
    </w:tbl>
    <w:p w:rsidR="002B3E4F" w:rsidRPr="00B37972" w:rsidRDefault="002B3E4F" w:rsidP="00B37972">
      <w:pPr>
        <w:pStyle w:val="Listparagraf"/>
        <w:spacing w:after="0" w:line="240" w:lineRule="auto"/>
        <w:ind w:left="502"/>
        <w:rPr>
          <w:rFonts w:ascii="Verdana" w:hAnsi="Verdana"/>
          <w:noProof/>
          <w:sz w:val="20"/>
        </w:rPr>
      </w:pPr>
    </w:p>
    <w:p w:rsidR="002B3E4F" w:rsidRPr="00B37972" w:rsidRDefault="00C34EA8" w:rsidP="00B37972">
      <w:pPr>
        <w:pStyle w:val="Listparagraf"/>
        <w:numPr>
          <w:ilvl w:val="0"/>
          <w:numId w:val="5"/>
        </w:numPr>
        <w:tabs>
          <w:tab w:val="left" w:pos="567"/>
        </w:tabs>
        <w:suppressAutoHyphens w:val="0"/>
        <w:spacing w:after="0" w:line="240" w:lineRule="auto"/>
        <w:ind w:left="0" w:firstLine="0"/>
        <w:jc w:val="both"/>
        <w:rPr>
          <w:rFonts w:ascii="Verdana" w:hAnsi="Verdana"/>
          <w:noProof/>
          <w:sz w:val="20"/>
        </w:rPr>
      </w:pPr>
      <w:r w:rsidRPr="00CC4688">
        <w:rPr>
          <w:rFonts w:ascii="Verdana" w:hAnsi="Verdana"/>
          <w:noProof/>
          <w:sz w:val="20"/>
          <w:u w:val="single"/>
        </w:rPr>
        <w:t>GRECO notes</w:t>
      </w:r>
      <w:r>
        <w:rPr>
          <w:rFonts w:ascii="Verdana" w:hAnsi="Verdana"/>
          <w:noProof/>
          <w:sz w:val="20"/>
        </w:rPr>
        <w:t xml:space="preserve"> that Article 96, paragraphs 7 and 8 expressly oblige the Ministry of Public Finance to </w:t>
      </w:r>
      <w:r w:rsidR="0082436F">
        <w:rPr>
          <w:rFonts w:ascii="Verdana" w:hAnsi="Verdana"/>
          <w:noProof/>
          <w:sz w:val="20"/>
        </w:rPr>
        <w:t xml:space="preserve">establish whether the judicial error was caused as a result of bad faith or serious negligence, and if the latter is the case, to take action in regress against the judge or the prosecutor concerned. </w:t>
      </w:r>
      <w:r w:rsidR="009F0856" w:rsidRPr="00B37972">
        <w:rPr>
          <w:rFonts w:ascii="Verdana" w:hAnsi="Verdana"/>
          <w:noProof/>
          <w:sz w:val="20"/>
        </w:rPr>
        <w:t xml:space="preserve">Persons </w:t>
      </w:r>
      <w:r w:rsidR="00D00194" w:rsidRPr="00B37972">
        <w:rPr>
          <w:rFonts w:ascii="Verdana" w:hAnsi="Verdana"/>
          <w:noProof/>
          <w:sz w:val="20"/>
        </w:rPr>
        <w:t xml:space="preserve">wishing to claim compensation for damages </w:t>
      </w:r>
      <w:r w:rsidR="009F0856" w:rsidRPr="00B37972">
        <w:rPr>
          <w:rFonts w:ascii="Verdana" w:hAnsi="Verdana"/>
          <w:noProof/>
          <w:sz w:val="20"/>
        </w:rPr>
        <w:t>result</w:t>
      </w:r>
      <w:r w:rsidR="00D00194" w:rsidRPr="00B37972">
        <w:rPr>
          <w:rFonts w:ascii="Verdana" w:hAnsi="Verdana"/>
          <w:noProof/>
          <w:sz w:val="20"/>
        </w:rPr>
        <w:t>ing from</w:t>
      </w:r>
      <w:r w:rsidR="009F0856" w:rsidRPr="00B37972">
        <w:rPr>
          <w:rFonts w:ascii="Verdana" w:hAnsi="Verdana"/>
          <w:noProof/>
          <w:sz w:val="20"/>
        </w:rPr>
        <w:t xml:space="preserve"> judicial errors may </w:t>
      </w:r>
      <w:r w:rsidR="00BB1756" w:rsidRPr="00B37972">
        <w:rPr>
          <w:rFonts w:ascii="Verdana" w:hAnsi="Verdana"/>
          <w:noProof/>
          <w:sz w:val="20"/>
        </w:rPr>
        <w:t xml:space="preserve">do so </w:t>
      </w:r>
      <w:r w:rsidR="00D061A9" w:rsidRPr="00B37972">
        <w:rPr>
          <w:rFonts w:ascii="Verdana" w:hAnsi="Verdana"/>
          <w:noProof/>
          <w:sz w:val="20"/>
        </w:rPr>
        <w:t xml:space="preserve">by bringing action against the state, represented by the Ministry of Public Finance. </w:t>
      </w:r>
      <w:r w:rsidR="0082436F">
        <w:rPr>
          <w:rFonts w:ascii="Verdana" w:hAnsi="Verdana"/>
          <w:noProof/>
          <w:sz w:val="20"/>
        </w:rPr>
        <w:t xml:space="preserve">In its action </w:t>
      </w:r>
      <w:r w:rsidR="0082436F" w:rsidRPr="00B37972">
        <w:rPr>
          <w:rFonts w:ascii="Verdana" w:hAnsi="Verdana"/>
          <w:noProof/>
          <w:sz w:val="20"/>
        </w:rPr>
        <w:t>against the judge or the prosecutor</w:t>
      </w:r>
      <w:r w:rsidR="0082436F">
        <w:rPr>
          <w:rFonts w:ascii="Verdana" w:hAnsi="Verdana"/>
          <w:noProof/>
          <w:sz w:val="20"/>
        </w:rPr>
        <w:t>,</w:t>
      </w:r>
      <w:r w:rsidR="0082436F" w:rsidRPr="00B37972">
        <w:rPr>
          <w:rFonts w:ascii="Verdana" w:hAnsi="Verdana"/>
          <w:noProof/>
          <w:sz w:val="20"/>
        </w:rPr>
        <w:t xml:space="preserve"> </w:t>
      </w:r>
      <w:r w:rsidR="00D061A9" w:rsidRPr="00B37972">
        <w:rPr>
          <w:rFonts w:ascii="Verdana" w:hAnsi="Verdana"/>
          <w:noProof/>
          <w:sz w:val="20"/>
        </w:rPr>
        <w:t>the Ministry should request the Judicial Inspection, w</w:t>
      </w:r>
      <w:r w:rsidR="002B3E4F" w:rsidRPr="00B37972">
        <w:rPr>
          <w:rFonts w:ascii="Verdana" w:hAnsi="Verdana"/>
          <w:noProof/>
          <w:sz w:val="20"/>
        </w:rPr>
        <w:t>ithin two months from the final court decision, to verify whether the judicial error was caused as a result of bad faith or serious negligence.</w:t>
      </w:r>
      <w:r w:rsidR="00D061A9" w:rsidRPr="00B37972">
        <w:rPr>
          <w:rFonts w:ascii="Verdana" w:hAnsi="Verdana"/>
          <w:noProof/>
          <w:sz w:val="20"/>
        </w:rPr>
        <w:t xml:space="preserve"> </w:t>
      </w:r>
      <w:r w:rsidR="002B3E4F" w:rsidRPr="00B37972">
        <w:rPr>
          <w:rFonts w:ascii="Verdana" w:hAnsi="Verdana"/>
          <w:noProof/>
          <w:sz w:val="20"/>
        </w:rPr>
        <w:t xml:space="preserve">The </w:t>
      </w:r>
      <w:r w:rsidR="00D061A9" w:rsidRPr="00B37972">
        <w:rPr>
          <w:rFonts w:ascii="Verdana" w:hAnsi="Verdana"/>
          <w:noProof/>
          <w:sz w:val="20"/>
        </w:rPr>
        <w:t xml:space="preserve">procedure for such verification is set out in Article </w:t>
      </w:r>
      <w:r w:rsidR="002B3E4F" w:rsidRPr="00B37972">
        <w:rPr>
          <w:rFonts w:ascii="Verdana" w:hAnsi="Verdana"/>
          <w:noProof/>
          <w:sz w:val="20"/>
        </w:rPr>
        <w:t>74</w:t>
      </w:r>
      <w:r w:rsidR="002B3E4F" w:rsidRPr="00B37972">
        <w:rPr>
          <w:rFonts w:ascii="Verdana" w:hAnsi="Verdana"/>
          <w:noProof/>
          <w:sz w:val="20"/>
          <w:vertAlign w:val="superscript"/>
        </w:rPr>
        <w:t>1</w:t>
      </w:r>
      <w:r w:rsidR="002B3E4F" w:rsidRPr="00B37972">
        <w:rPr>
          <w:rFonts w:ascii="Verdana" w:hAnsi="Verdana"/>
          <w:noProof/>
          <w:sz w:val="20"/>
        </w:rPr>
        <w:t xml:space="preserve"> of the Law no. 317/2004</w:t>
      </w:r>
      <w:r w:rsidR="00D061A9" w:rsidRPr="00B37972">
        <w:rPr>
          <w:rFonts w:ascii="Verdana" w:hAnsi="Verdana"/>
          <w:noProof/>
          <w:sz w:val="20"/>
        </w:rPr>
        <w:t xml:space="preserve"> on the Superior Council </w:t>
      </w:r>
      <w:r w:rsidR="00660749" w:rsidRPr="00B37972">
        <w:rPr>
          <w:rFonts w:ascii="Verdana" w:hAnsi="Verdana"/>
          <w:noProof/>
          <w:sz w:val="20"/>
        </w:rPr>
        <w:t xml:space="preserve">of </w:t>
      </w:r>
      <w:r w:rsidR="00D061A9" w:rsidRPr="00B37972">
        <w:rPr>
          <w:rFonts w:ascii="Verdana" w:hAnsi="Verdana"/>
          <w:noProof/>
          <w:sz w:val="20"/>
        </w:rPr>
        <w:t>Magistracy, which reads as follows</w:t>
      </w:r>
      <w:r w:rsidR="002B3E4F" w:rsidRPr="00B37972">
        <w:rPr>
          <w:rFonts w:ascii="Verdana" w:hAnsi="Verdana"/>
          <w:noProof/>
          <w:sz w:val="20"/>
        </w:rPr>
        <w:t>:</w:t>
      </w:r>
    </w:p>
    <w:p w:rsidR="00754D89" w:rsidRPr="00B37972" w:rsidRDefault="00754D89" w:rsidP="00B37972">
      <w:pPr>
        <w:pStyle w:val="Listparagraf"/>
        <w:tabs>
          <w:tab w:val="left" w:pos="567"/>
        </w:tabs>
        <w:suppressAutoHyphens w:val="0"/>
        <w:spacing w:after="0" w:line="240" w:lineRule="auto"/>
        <w:ind w:left="0"/>
        <w:jc w:val="both"/>
        <w:rPr>
          <w:rFonts w:ascii="Verdana" w:hAnsi="Verdana"/>
          <w:noProof/>
          <w:sz w:val="20"/>
        </w:rPr>
      </w:pPr>
    </w:p>
    <w:tbl>
      <w:tblPr>
        <w:tblStyle w:val="Tabelgril"/>
        <w:tblW w:w="0" w:type="auto"/>
        <w:tblInd w:w="108" w:type="dxa"/>
        <w:tblLook w:val="04A0" w:firstRow="1" w:lastRow="0" w:firstColumn="1" w:lastColumn="0" w:noHBand="0" w:noVBand="1"/>
      </w:tblPr>
      <w:tblGrid>
        <w:gridCol w:w="9096"/>
      </w:tblGrid>
      <w:tr w:rsidR="002B3E4F" w:rsidRPr="00B37972" w:rsidTr="00B4457B">
        <w:tc>
          <w:tcPr>
            <w:tcW w:w="9214" w:type="dxa"/>
          </w:tcPr>
          <w:p w:rsidR="003719A8" w:rsidRPr="00B37972" w:rsidRDefault="003719A8" w:rsidP="00B37972">
            <w:pPr>
              <w:spacing w:after="0" w:line="240" w:lineRule="auto"/>
              <w:ind w:left="176" w:right="176"/>
              <w:jc w:val="both"/>
              <w:rPr>
                <w:rFonts w:ascii="Verdana" w:hAnsi="Verdana"/>
                <w:b/>
                <w:noProof/>
                <w:sz w:val="16"/>
              </w:rPr>
            </w:pPr>
          </w:p>
          <w:p w:rsidR="002B3E4F" w:rsidRPr="00B37972" w:rsidRDefault="00D061A9" w:rsidP="00B37972">
            <w:pPr>
              <w:spacing w:after="0" w:line="240" w:lineRule="auto"/>
              <w:ind w:left="176" w:right="176"/>
              <w:jc w:val="both"/>
              <w:rPr>
                <w:rFonts w:ascii="Verdana" w:hAnsi="Verdana"/>
                <w:b/>
                <w:noProof/>
                <w:sz w:val="16"/>
              </w:rPr>
            </w:pPr>
            <w:r w:rsidRPr="00B37972">
              <w:rPr>
                <w:rFonts w:ascii="Verdana" w:hAnsi="Verdana"/>
                <w:b/>
                <w:noProof/>
                <w:sz w:val="16"/>
              </w:rPr>
              <w:t>A</w:t>
            </w:r>
            <w:r w:rsidR="002B3E4F" w:rsidRPr="00B37972">
              <w:rPr>
                <w:rFonts w:ascii="Verdana" w:hAnsi="Verdana"/>
                <w:b/>
                <w:noProof/>
                <w:sz w:val="16"/>
              </w:rPr>
              <w:t>rticle</w:t>
            </w:r>
            <w:r w:rsidRPr="00B37972">
              <w:rPr>
                <w:rFonts w:ascii="Verdana" w:hAnsi="Verdana"/>
                <w:b/>
                <w:noProof/>
                <w:sz w:val="16"/>
              </w:rPr>
              <w:t xml:space="preserve"> </w:t>
            </w:r>
            <w:r w:rsidR="002B3E4F" w:rsidRPr="00B37972">
              <w:rPr>
                <w:rFonts w:ascii="Verdana" w:hAnsi="Verdana"/>
                <w:b/>
                <w:noProof/>
                <w:sz w:val="16"/>
              </w:rPr>
              <w:t>74</w:t>
            </w:r>
            <w:r w:rsidR="002B3E4F" w:rsidRPr="00B37972">
              <w:rPr>
                <w:rFonts w:ascii="Verdana" w:hAnsi="Verdana"/>
                <w:b/>
                <w:noProof/>
                <w:sz w:val="16"/>
                <w:vertAlign w:val="superscript"/>
              </w:rPr>
              <w:t>1</w:t>
            </w:r>
          </w:p>
          <w:p w:rsidR="002B3E4F" w:rsidRPr="00B37972" w:rsidRDefault="002B3E4F" w:rsidP="00B37972">
            <w:pPr>
              <w:spacing w:after="0" w:line="240" w:lineRule="auto"/>
              <w:ind w:left="176" w:right="176"/>
              <w:jc w:val="both"/>
              <w:rPr>
                <w:rFonts w:ascii="Verdana" w:hAnsi="Verdana"/>
                <w:i/>
                <w:noProof/>
                <w:sz w:val="16"/>
              </w:rPr>
            </w:pPr>
            <w:r w:rsidRPr="00B37972">
              <w:rPr>
                <w:rFonts w:ascii="Verdana" w:hAnsi="Verdana"/>
                <w:i/>
                <w:noProof/>
                <w:sz w:val="16"/>
              </w:rPr>
              <w:t>”(1) At the referral of the Ministry of Public Finance, in the cases and deadlines provided in article 96 of Law no. 303/2004, republished, as subsequently amended and supplemented, the Judicial Inspection carries out verifications in order to assess whether the judicial error caused by the judge or prosecutor was due to the exercise of his /her office in bad faith or with serious negligence.</w:t>
            </w:r>
          </w:p>
          <w:p w:rsidR="002B3E4F" w:rsidRPr="00B37972" w:rsidRDefault="002B3E4F" w:rsidP="00B37972">
            <w:pPr>
              <w:spacing w:after="0" w:line="240" w:lineRule="auto"/>
              <w:ind w:left="176" w:right="176"/>
              <w:jc w:val="both"/>
              <w:rPr>
                <w:rFonts w:ascii="Verdana" w:hAnsi="Verdana"/>
                <w:i/>
                <w:noProof/>
                <w:sz w:val="16"/>
              </w:rPr>
            </w:pPr>
            <w:r w:rsidRPr="00B37972">
              <w:rPr>
                <w:rFonts w:ascii="Verdana" w:hAnsi="Verdana"/>
                <w:i/>
                <w:noProof/>
                <w:sz w:val="16"/>
              </w:rPr>
              <w:t>(2) The verification provided in paragraph (1) shall be completed within 30 days of the referral. The Chief Inspector may order the extension of the deadline by up to 30 days if there are good reasons to justify this measure. The maximum deadline of verifications cannot exceed 120 days.</w:t>
            </w:r>
          </w:p>
          <w:p w:rsidR="002B3E4F" w:rsidRPr="00B37972" w:rsidRDefault="002B3E4F" w:rsidP="00B37972">
            <w:pPr>
              <w:spacing w:after="0" w:line="240" w:lineRule="auto"/>
              <w:ind w:left="176" w:right="176"/>
              <w:jc w:val="both"/>
              <w:rPr>
                <w:rFonts w:ascii="Verdana" w:hAnsi="Verdana"/>
                <w:i/>
                <w:noProof/>
                <w:sz w:val="16"/>
              </w:rPr>
            </w:pPr>
            <w:r w:rsidRPr="00B37972">
              <w:rPr>
                <w:rFonts w:ascii="Verdana" w:hAnsi="Verdana"/>
                <w:i/>
                <w:noProof/>
                <w:sz w:val="16"/>
              </w:rPr>
              <w:t xml:space="preserve">(3) The verification is carried out by a commission formed, according to the position of the verified person, by 3 judges, judicial inspectors or 3 prosecutors, judicial inspectors. If, in the same case, are verified judges and prosecutors, two commissions will be set up to verify the facts distinctly according to the position of the verified persons. </w:t>
            </w:r>
          </w:p>
          <w:p w:rsidR="002B3E4F" w:rsidRPr="00B37972" w:rsidRDefault="002B3E4F" w:rsidP="00B37972">
            <w:pPr>
              <w:spacing w:after="0" w:line="240" w:lineRule="auto"/>
              <w:ind w:left="176" w:right="176"/>
              <w:jc w:val="both"/>
              <w:rPr>
                <w:rFonts w:ascii="Verdana" w:hAnsi="Verdana"/>
                <w:i/>
                <w:noProof/>
                <w:sz w:val="16"/>
              </w:rPr>
            </w:pPr>
            <w:r w:rsidRPr="00B37972">
              <w:rPr>
                <w:rFonts w:ascii="Verdana" w:hAnsi="Verdana"/>
                <w:i/>
                <w:noProof/>
                <w:sz w:val="16"/>
              </w:rPr>
              <w:t>(4) During the verifications, the hearing of the judge and prosecutor concerned is mandatory. The refusal of the verified judge or prosecutor to make statements or to participate at hearings shall be recorded by minutes and shall not prevent the completion of the verifications. The judge or prosecutor concerned has the right to know all acts of the verification procedure and to request evidence in defense. Inspectors can hear any other persons involved in the case in which verifications are made.</w:t>
            </w:r>
          </w:p>
          <w:p w:rsidR="002B3E4F" w:rsidRPr="00B37972" w:rsidRDefault="002B3E4F" w:rsidP="00B37972">
            <w:pPr>
              <w:spacing w:after="0" w:line="240" w:lineRule="auto"/>
              <w:ind w:left="176" w:right="176"/>
              <w:jc w:val="both"/>
              <w:rPr>
                <w:rFonts w:ascii="Verdana" w:hAnsi="Verdana"/>
                <w:i/>
                <w:noProof/>
                <w:sz w:val="16"/>
              </w:rPr>
            </w:pPr>
            <w:r w:rsidRPr="00B37972">
              <w:rPr>
                <w:rFonts w:ascii="Verdana" w:hAnsi="Verdana"/>
                <w:i/>
                <w:noProof/>
                <w:sz w:val="16"/>
              </w:rPr>
              <w:t>(5) The verifications shall be finalized by a report in which, based on the entire administered evidence, the Judicial Inspection appreciates whether the judicial error was committed by the judge or prosecutor in bad faith or with serious negligence.</w:t>
            </w:r>
          </w:p>
          <w:p w:rsidR="002B3E4F" w:rsidRPr="00B37972" w:rsidRDefault="002B3E4F" w:rsidP="00B37972">
            <w:pPr>
              <w:spacing w:after="0" w:line="240" w:lineRule="auto"/>
              <w:ind w:left="176" w:right="176"/>
              <w:jc w:val="both"/>
              <w:rPr>
                <w:rFonts w:ascii="Verdana" w:hAnsi="Verdana"/>
                <w:i/>
                <w:noProof/>
                <w:sz w:val="16"/>
              </w:rPr>
            </w:pPr>
            <w:r w:rsidRPr="00B37972">
              <w:rPr>
                <w:rFonts w:ascii="Verdana" w:hAnsi="Verdana"/>
                <w:i/>
                <w:noProof/>
                <w:sz w:val="16"/>
              </w:rPr>
              <w:t>(6) The verification provided in paragraph (1) shall be carried out also in the situation when the verified persons do not occupy anymore the position of judge or prosecutor.</w:t>
            </w:r>
          </w:p>
          <w:p w:rsidR="002B3E4F" w:rsidRPr="00B37972" w:rsidRDefault="002B3E4F" w:rsidP="00B37972">
            <w:pPr>
              <w:spacing w:after="0" w:line="240" w:lineRule="auto"/>
              <w:ind w:left="176" w:right="176"/>
              <w:jc w:val="both"/>
              <w:rPr>
                <w:rFonts w:ascii="Verdana" w:hAnsi="Verdana"/>
                <w:i/>
                <w:noProof/>
                <w:sz w:val="16"/>
              </w:rPr>
            </w:pPr>
            <w:r w:rsidRPr="00B37972">
              <w:rPr>
                <w:rFonts w:ascii="Verdana" w:hAnsi="Verdana"/>
                <w:i/>
                <w:noProof/>
                <w:sz w:val="16"/>
              </w:rPr>
              <w:t>(7) The report shall be communicated to the Ministry of Public Finance and to the judge or prosecutor concerned.</w:t>
            </w:r>
          </w:p>
          <w:p w:rsidR="002B3E4F" w:rsidRPr="00B37972" w:rsidRDefault="002B3E4F" w:rsidP="00B37972">
            <w:pPr>
              <w:spacing w:after="0" w:line="240" w:lineRule="auto"/>
              <w:ind w:left="176" w:right="176"/>
              <w:jc w:val="both"/>
              <w:rPr>
                <w:rFonts w:ascii="Verdana" w:hAnsi="Verdana"/>
                <w:i/>
                <w:noProof/>
                <w:sz w:val="16"/>
              </w:rPr>
            </w:pPr>
            <w:r w:rsidRPr="00B37972">
              <w:rPr>
                <w:rFonts w:ascii="Verdana" w:hAnsi="Verdana"/>
                <w:i/>
                <w:noProof/>
                <w:sz w:val="16"/>
              </w:rPr>
              <w:t>(8) The report provided in paragraph (5) is subject to confirmation by the Chief Inspector. The Chief Inspector may order in a reasoned manner, once, the completion of the verifications. The completion shall be made by the Commission within no more than 30 days from the date on which it was ordered by the Chief Inspector.”</w:t>
            </w:r>
          </w:p>
          <w:p w:rsidR="003719A8" w:rsidRPr="00B37972" w:rsidRDefault="003719A8" w:rsidP="00B37972">
            <w:pPr>
              <w:spacing w:after="0" w:line="240" w:lineRule="auto"/>
              <w:ind w:left="176" w:right="176"/>
              <w:jc w:val="both"/>
              <w:rPr>
                <w:rFonts w:ascii="Verdana" w:hAnsi="Verdana"/>
                <w:noProof/>
                <w:sz w:val="16"/>
              </w:rPr>
            </w:pPr>
          </w:p>
        </w:tc>
      </w:tr>
    </w:tbl>
    <w:p w:rsidR="002B3E4F" w:rsidRPr="00B37972" w:rsidRDefault="002B3E4F" w:rsidP="00B37972">
      <w:pPr>
        <w:pStyle w:val="Listparagraf"/>
        <w:tabs>
          <w:tab w:val="left" w:pos="567"/>
        </w:tabs>
        <w:suppressAutoHyphens w:val="0"/>
        <w:spacing w:after="0" w:line="240" w:lineRule="auto"/>
        <w:ind w:left="0"/>
        <w:jc w:val="both"/>
        <w:rPr>
          <w:rFonts w:ascii="Verdana" w:hAnsi="Verdana"/>
          <w:noProof/>
          <w:sz w:val="20"/>
        </w:rPr>
      </w:pPr>
    </w:p>
    <w:p w:rsidR="00A271C3" w:rsidRPr="00B37972" w:rsidRDefault="00A271C3" w:rsidP="00B37972">
      <w:pPr>
        <w:pStyle w:val="Listparagraf"/>
        <w:numPr>
          <w:ilvl w:val="0"/>
          <w:numId w:val="5"/>
        </w:numPr>
        <w:tabs>
          <w:tab w:val="left" w:pos="567"/>
        </w:tabs>
        <w:suppressAutoHyphens w:val="0"/>
        <w:spacing w:after="0" w:line="240" w:lineRule="auto"/>
        <w:ind w:left="0" w:firstLine="0"/>
        <w:jc w:val="both"/>
        <w:rPr>
          <w:rFonts w:ascii="Verdana" w:hAnsi="Verdana"/>
          <w:noProof/>
          <w:sz w:val="20"/>
        </w:rPr>
      </w:pPr>
      <w:r w:rsidRPr="00B37972">
        <w:rPr>
          <w:rFonts w:ascii="Verdana" w:hAnsi="Verdana"/>
          <w:sz w:val="20"/>
          <w:u w:val="single"/>
        </w:rPr>
        <w:t>GRECO</w:t>
      </w:r>
      <w:r w:rsidRPr="00B37972">
        <w:rPr>
          <w:rFonts w:ascii="Verdana" w:hAnsi="Verdana"/>
          <w:sz w:val="20"/>
        </w:rPr>
        <w:t xml:space="preserve"> is of the opinion that the system of personal liability upon judges and prosecutors relating to the exercise of their functions is, in itself, questionable as it may have a chilling effect on their independence from the executive, e.g. it could be used as a means for undue influence over the judiciary, if it is not accompanied by sufficient safeguards. Judicial errors should preferably be dealt with by appeal before a higher instance, or as a disciplinary matter to be handled within the judiciary itself, depending on the character of the error. This goes hand in hand with GRECO’s position that members of the judiciary may even enjoy “functional immunity”, as reflected in several reports. However, Romania is one of few member states where the law provides for far reaching personal liability upon judges and prosecutors for errors during their function, even after retirement. In such a situation, there must be clear safeguards in place, as has been stated by several other Council of Europe bodies (Venice Commission, CCJE and CCPE).</w:t>
      </w:r>
      <w:r w:rsidRPr="00B37972">
        <w:rPr>
          <w:rStyle w:val="Referinnotdesubsol"/>
          <w:rFonts w:ascii="Verdana" w:hAnsi="Verdana"/>
          <w:sz w:val="20"/>
        </w:rPr>
        <w:footnoteReference w:id="23"/>
      </w:r>
    </w:p>
    <w:p w:rsidR="00A271C3" w:rsidRPr="00B37972" w:rsidRDefault="00A271C3" w:rsidP="00B37972">
      <w:pPr>
        <w:pStyle w:val="Listparagraf"/>
        <w:tabs>
          <w:tab w:val="left" w:pos="567"/>
        </w:tabs>
        <w:suppressAutoHyphens w:val="0"/>
        <w:spacing w:after="0" w:line="240" w:lineRule="auto"/>
        <w:ind w:left="0"/>
        <w:jc w:val="both"/>
        <w:rPr>
          <w:rFonts w:ascii="Verdana" w:hAnsi="Verdana"/>
          <w:noProof/>
          <w:sz w:val="20"/>
        </w:rPr>
      </w:pPr>
    </w:p>
    <w:p w:rsidR="002A07F2" w:rsidRPr="00B37972" w:rsidRDefault="00D00194" w:rsidP="00B37972">
      <w:pPr>
        <w:pStyle w:val="Listparagraf"/>
        <w:numPr>
          <w:ilvl w:val="0"/>
          <w:numId w:val="5"/>
        </w:numPr>
        <w:tabs>
          <w:tab w:val="left" w:pos="567"/>
        </w:tabs>
        <w:suppressAutoHyphens w:val="0"/>
        <w:spacing w:after="0" w:line="240" w:lineRule="auto"/>
        <w:ind w:left="0" w:firstLine="0"/>
        <w:jc w:val="both"/>
        <w:rPr>
          <w:rFonts w:ascii="Verdana" w:hAnsi="Verdana"/>
          <w:noProof/>
          <w:sz w:val="20"/>
        </w:rPr>
      </w:pPr>
      <w:r w:rsidRPr="00B37972">
        <w:rPr>
          <w:rFonts w:ascii="Verdana" w:hAnsi="Verdana"/>
          <w:noProof/>
          <w:sz w:val="20"/>
          <w:u w:val="single"/>
        </w:rPr>
        <w:t>GRECO</w:t>
      </w:r>
      <w:r w:rsidRPr="00B37972">
        <w:rPr>
          <w:rFonts w:ascii="Verdana" w:hAnsi="Verdana"/>
          <w:noProof/>
          <w:sz w:val="20"/>
        </w:rPr>
        <w:t xml:space="preserve"> takes note of the information provided</w:t>
      </w:r>
      <w:r w:rsidR="00A271C3" w:rsidRPr="00B37972">
        <w:rPr>
          <w:rFonts w:ascii="Verdana" w:hAnsi="Verdana"/>
          <w:noProof/>
          <w:sz w:val="20"/>
        </w:rPr>
        <w:t xml:space="preserve"> by the Romanian authorities</w:t>
      </w:r>
      <w:r w:rsidRPr="00B37972">
        <w:rPr>
          <w:rFonts w:ascii="Verdana" w:hAnsi="Verdana"/>
          <w:noProof/>
          <w:sz w:val="20"/>
        </w:rPr>
        <w:t xml:space="preserve">. </w:t>
      </w:r>
      <w:r w:rsidR="004940D6" w:rsidRPr="00B37972">
        <w:rPr>
          <w:rFonts w:ascii="Verdana" w:hAnsi="Verdana"/>
          <w:noProof/>
          <w:sz w:val="20"/>
        </w:rPr>
        <w:t xml:space="preserve">It </w:t>
      </w:r>
      <w:r w:rsidR="0082436F">
        <w:rPr>
          <w:rFonts w:ascii="Verdana" w:hAnsi="Verdana"/>
          <w:noProof/>
          <w:sz w:val="20"/>
        </w:rPr>
        <w:t xml:space="preserve">is concerned </w:t>
      </w:r>
      <w:r w:rsidR="004940D6" w:rsidRPr="00B37972">
        <w:rPr>
          <w:rFonts w:ascii="Verdana" w:hAnsi="Verdana"/>
          <w:noProof/>
          <w:sz w:val="20"/>
        </w:rPr>
        <w:t xml:space="preserve">that </w:t>
      </w:r>
      <w:r w:rsidR="00462071" w:rsidRPr="00B37972">
        <w:rPr>
          <w:rFonts w:ascii="Verdana" w:hAnsi="Verdana"/>
          <w:noProof/>
          <w:sz w:val="20"/>
        </w:rPr>
        <w:t xml:space="preserve">the state’s action against judges and prosecutors </w:t>
      </w:r>
      <w:r w:rsidR="002A07F2" w:rsidRPr="00B37972">
        <w:rPr>
          <w:rFonts w:ascii="Verdana" w:hAnsi="Verdana"/>
          <w:noProof/>
          <w:sz w:val="20"/>
        </w:rPr>
        <w:t xml:space="preserve">to establish their </w:t>
      </w:r>
      <w:r w:rsidR="00462071" w:rsidRPr="00B37972">
        <w:rPr>
          <w:rFonts w:ascii="Verdana" w:hAnsi="Verdana"/>
          <w:noProof/>
          <w:sz w:val="20"/>
        </w:rPr>
        <w:t>material liability for judicial errors</w:t>
      </w:r>
      <w:r w:rsidR="002A07F2" w:rsidRPr="00B37972">
        <w:rPr>
          <w:rFonts w:ascii="Verdana" w:hAnsi="Verdana"/>
          <w:noProof/>
          <w:sz w:val="20"/>
        </w:rPr>
        <w:t xml:space="preserve"> and recover compensation sums paid by the state</w:t>
      </w:r>
      <w:r w:rsidR="0082436F">
        <w:rPr>
          <w:rFonts w:ascii="Verdana" w:hAnsi="Verdana"/>
          <w:noProof/>
          <w:sz w:val="20"/>
        </w:rPr>
        <w:t xml:space="preserve"> remains mandatory</w:t>
      </w:r>
      <w:r w:rsidR="002A07F2" w:rsidRPr="00B37972">
        <w:rPr>
          <w:rFonts w:ascii="Verdana" w:hAnsi="Verdana"/>
          <w:noProof/>
          <w:sz w:val="20"/>
        </w:rPr>
        <w:t>.</w:t>
      </w:r>
    </w:p>
    <w:p w:rsidR="002A07F2" w:rsidRPr="00B37972" w:rsidRDefault="002A07F2" w:rsidP="00B37972">
      <w:pPr>
        <w:pStyle w:val="Listparagraf"/>
        <w:tabs>
          <w:tab w:val="left" w:pos="567"/>
        </w:tabs>
        <w:suppressAutoHyphens w:val="0"/>
        <w:spacing w:after="0" w:line="240" w:lineRule="auto"/>
        <w:ind w:left="0"/>
        <w:jc w:val="both"/>
        <w:rPr>
          <w:rFonts w:ascii="Verdana" w:hAnsi="Verdana"/>
          <w:noProof/>
          <w:sz w:val="20"/>
        </w:rPr>
      </w:pPr>
    </w:p>
    <w:p w:rsidR="00ED0A91" w:rsidRPr="00B37972" w:rsidRDefault="00E875A8" w:rsidP="00B37972">
      <w:pPr>
        <w:pStyle w:val="Listparagraf"/>
        <w:numPr>
          <w:ilvl w:val="0"/>
          <w:numId w:val="5"/>
        </w:numPr>
        <w:tabs>
          <w:tab w:val="left" w:pos="567"/>
        </w:tabs>
        <w:suppressAutoHyphens w:val="0"/>
        <w:spacing w:after="0" w:line="240" w:lineRule="auto"/>
        <w:ind w:left="0" w:firstLine="0"/>
        <w:jc w:val="both"/>
        <w:rPr>
          <w:rFonts w:ascii="Verdana" w:hAnsi="Verdana"/>
          <w:noProof/>
          <w:sz w:val="20"/>
        </w:rPr>
      </w:pPr>
      <w:r>
        <w:rPr>
          <w:rFonts w:ascii="Verdana" w:hAnsi="Verdana"/>
          <w:noProof/>
          <w:sz w:val="20"/>
        </w:rPr>
        <w:t>Further</w:t>
      </w:r>
      <w:r w:rsidR="0005109B" w:rsidRPr="00B37972">
        <w:rPr>
          <w:rFonts w:ascii="Verdana" w:hAnsi="Verdana"/>
          <w:noProof/>
          <w:sz w:val="20"/>
        </w:rPr>
        <w:t xml:space="preserve">, the authorities have not </w:t>
      </w:r>
      <w:r w:rsidR="00A271C3" w:rsidRPr="00B37972">
        <w:rPr>
          <w:rFonts w:ascii="Verdana" w:hAnsi="Verdana"/>
          <w:noProof/>
          <w:sz w:val="20"/>
        </w:rPr>
        <w:t xml:space="preserve">put in place </w:t>
      </w:r>
      <w:r w:rsidR="0005109B" w:rsidRPr="00B37972">
        <w:rPr>
          <w:rFonts w:ascii="Verdana" w:hAnsi="Verdana"/>
          <w:noProof/>
          <w:sz w:val="20"/>
        </w:rPr>
        <w:t>an</w:t>
      </w:r>
      <w:r w:rsidR="00A271C3" w:rsidRPr="00B37972">
        <w:rPr>
          <w:rFonts w:ascii="Verdana" w:hAnsi="Verdana"/>
          <w:noProof/>
          <w:sz w:val="20"/>
        </w:rPr>
        <w:t>y</w:t>
      </w:r>
      <w:r w:rsidR="0005109B" w:rsidRPr="00B37972">
        <w:rPr>
          <w:rFonts w:ascii="Verdana" w:hAnsi="Verdana"/>
          <w:noProof/>
          <w:sz w:val="20"/>
        </w:rPr>
        <w:t xml:space="preserve"> additional safeguard</w:t>
      </w:r>
      <w:r w:rsidR="00A271C3" w:rsidRPr="00B37972">
        <w:rPr>
          <w:rFonts w:ascii="Verdana" w:hAnsi="Verdana"/>
          <w:noProof/>
          <w:sz w:val="20"/>
        </w:rPr>
        <w:t>s</w:t>
      </w:r>
      <w:r w:rsidR="0005109B" w:rsidRPr="00B37972">
        <w:rPr>
          <w:rFonts w:ascii="Verdana" w:hAnsi="Verdana"/>
          <w:noProof/>
          <w:sz w:val="20"/>
        </w:rPr>
        <w:t xml:space="preserve"> against the risk of pressure on judges and prosecutors</w:t>
      </w:r>
      <w:r w:rsidR="00CC4688">
        <w:rPr>
          <w:rFonts w:ascii="Verdana" w:hAnsi="Verdana"/>
          <w:noProof/>
          <w:sz w:val="20"/>
        </w:rPr>
        <w:t>.</w:t>
      </w:r>
      <w:r w:rsidR="00CC4688">
        <w:rPr>
          <w:rStyle w:val="Referinnotdesubsol"/>
          <w:rFonts w:ascii="Verdana" w:hAnsi="Verdana"/>
          <w:noProof/>
          <w:sz w:val="20"/>
        </w:rPr>
        <w:footnoteReference w:id="24"/>
      </w:r>
      <w:r w:rsidR="0005109B" w:rsidRPr="00B37972">
        <w:rPr>
          <w:rFonts w:ascii="Verdana" w:hAnsi="Verdana"/>
          <w:noProof/>
          <w:sz w:val="20"/>
        </w:rPr>
        <w:t xml:space="preserve"> </w:t>
      </w:r>
      <w:r w:rsidR="00D36712" w:rsidRPr="00B37972">
        <w:rPr>
          <w:rFonts w:ascii="Verdana" w:hAnsi="Verdana"/>
          <w:noProof/>
          <w:sz w:val="20"/>
        </w:rPr>
        <w:t xml:space="preserve">GRECO </w:t>
      </w:r>
      <w:r w:rsidR="00A271C3" w:rsidRPr="00B37972">
        <w:rPr>
          <w:rFonts w:ascii="Verdana" w:hAnsi="Verdana"/>
          <w:noProof/>
          <w:sz w:val="20"/>
        </w:rPr>
        <w:t xml:space="preserve">is also concerned about </w:t>
      </w:r>
      <w:r w:rsidR="0005109B" w:rsidRPr="00B37972">
        <w:rPr>
          <w:rFonts w:ascii="Verdana" w:hAnsi="Verdana"/>
          <w:noProof/>
          <w:sz w:val="20"/>
        </w:rPr>
        <w:t xml:space="preserve">the exclusion of the SCM from this procedure, and </w:t>
      </w:r>
      <w:r w:rsidR="00D36712" w:rsidRPr="00B37972">
        <w:rPr>
          <w:rFonts w:ascii="Verdana" w:hAnsi="Verdana"/>
          <w:noProof/>
          <w:sz w:val="20"/>
        </w:rPr>
        <w:t>regarding the</w:t>
      </w:r>
      <w:r w:rsidR="0005109B" w:rsidRPr="00B37972">
        <w:rPr>
          <w:rFonts w:ascii="Verdana" w:hAnsi="Verdana"/>
          <w:noProof/>
          <w:sz w:val="20"/>
        </w:rPr>
        <w:t xml:space="preserve"> prominent role given to the Ministry of Public Finance in assessing the </w:t>
      </w:r>
      <w:r w:rsidR="00FF621A" w:rsidRPr="00B37972">
        <w:rPr>
          <w:rFonts w:ascii="Verdana" w:hAnsi="Verdana"/>
          <w:noProof/>
          <w:sz w:val="20"/>
        </w:rPr>
        <w:t>exist</w:t>
      </w:r>
      <w:r w:rsidR="005C7D1A" w:rsidRPr="00B37972">
        <w:rPr>
          <w:rFonts w:ascii="Verdana" w:hAnsi="Verdana"/>
          <w:noProof/>
          <w:sz w:val="20"/>
        </w:rPr>
        <w:t>e</w:t>
      </w:r>
      <w:r w:rsidR="00FF621A" w:rsidRPr="00B37972">
        <w:rPr>
          <w:rFonts w:ascii="Verdana" w:hAnsi="Verdana"/>
          <w:noProof/>
          <w:sz w:val="20"/>
        </w:rPr>
        <w:t>nce and causes of a judicial error</w:t>
      </w:r>
      <w:r w:rsidR="00A271C3" w:rsidRPr="00B37972">
        <w:rPr>
          <w:rFonts w:ascii="Verdana" w:hAnsi="Verdana"/>
          <w:noProof/>
          <w:sz w:val="20"/>
        </w:rPr>
        <w:t>, which is not in line with the independence of the judiciary</w:t>
      </w:r>
      <w:r w:rsidR="00FF621A" w:rsidRPr="00B37972">
        <w:rPr>
          <w:rFonts w:ascii="Verdana" w:hAnsi="Verdana"/>
          <w:noProof/>
          <w:sz w:val="20"/>
        </w:rPr>
        <w:t>.</w:t>
      </w:r>
      <w:r w:rsidR="001D0B20" w:rsidRPr="00B37972">
        <w:rPr>
          <w:rFonts w:ascii="Verdana" w:hAnsi="Verdana"/>
          <w:noProof/>
          <w:sz w:val="20"/>
        </w:rPr>
        <w:t xml:space="preserve"> </w:t>
      </w:r>
      <w:r>
        <w:rPr>
          <w:rFonts w:ascii="Verdana" w:hAnsi="Verdana"/>
          <w:noProof/>
          <w:sz w:val="20"/>
        </w:rPr>
        <w:t xml:space="preserve">Finally, the introduction of the liability of judges and prosecutors, seen together with the setting up and reinforcing of the prosecution’s </w:t>
      </w:r>
      <w:r w:rsidRPr="00B37972">
        <w:rPr>
          <w:rFonts w:ascii="Verdana" w:hAnsi="Verdana"/>
          <w:sz w:val="20"/>
          <w:szCs w:val="24"/>
        </w:rPr>
        <w:t>Section for the Investigation of Offences in the Judiciary</w:t>
      </w:r>
      <w:r w:rsidR="00741F38">
        <w:rPr>
          <w:rFonts w:ascii="Verdana" w:hAnsi="Verdana"/>
          <w:sz w:val="20"/>
          <w:szCs w:val="24"/>
        </w:rPr>
        <w:t>,</w:t>
      </w:r>
      <w:r w:rsidRPr="00B37972">
        <w:rPr>
          <w:rFonts w:ascii="Verdana" w:hAnsi="Verdana"/>
          <w:noProof/>
          <w:sz w:val="20"/>
        </w:rPr>
        <w:t xml:space="preserve"> </w:t>
      </w:r>
      <w:r>
        <w:rPr>
          <w:rFonts w:ascii="Verdana" w:hAnsi="Verdana"/>
          <w:noProof/>
          <w:sz w:val="20"/>
        </w:rPr>
        <w:t>constitutes a potential threat to the independence of judges and pro</w:t>
      </w:r>
      <w:r w:rsidR="00741F38">
        <w:rPr>
          <w:rFonts w:ascii="Verdana" w:hAnsi="Verdana"/>
          <w:noProof/>
          <w:sz w:val="20"/>
        </w:rPr>
        <w:t>s</w:t>
      </w:r>
      <w:r>
        <w:rPr>
          <w:rFonts w:ascii="Verdana" w:hAnsi="Verdana"/>
          <w:noProof/>
          <w:sz w:val="20"/>
        </w:rPr>
        <w:t xml:space="preserve">ecutors. </w:t>
      </w:r>
      <w:r w:rsidR="00ED0A91" w:rsidRPr="00B37972">
        <w:rPr>
          <w:rFonts w:ascii="Verdana" w:hAnsi="Verdana"/>
          <w:noProof/>
          <w:sz w:val="20"/>
        </w:rPr>
        <w:t xml:space="preserve">Further </w:t>
      </w:r>
      <w:r w:rsidR="001D0B20" w:rsidRPr="00B37972">
        <w:rPr>
          <w:rFonts w:ascii="Verdana" w:hAnsi="Verdana"/>
          <w:noProof/>
          <w:sz w:val="20"/>
        </w:rPr>
        <w:t xml:space="preserve">substantial </w:t>
      </w:r>
      <w:r w:rsidR="00ED0A91" w:rsidRPr="00B37972">
        <w:rPr>
          <w:rFonts w:ascii="Verdana" w:hAnsi="Verdana"/>
          <w:noProof/>
          <w:sz w:val="20"/>
        </w:rPr>
        <w:t>efforts are therefore requir</w:t>
      </w:r>
      <w:r w:rsidR="00526AAE" w:rsidRPr="00B37972">
        <w:rPr>
          <w:rFonts w:ascii="Verdana" w:hAnsi="Verdana"/>
          <w:noProof/>
          <w:sz w:val="20"/>
        </w:rPr>
        <w:t>ed by the Romanian authorities.</w:t>
      </w:r>
    </w:p>
    <w:p w:rsidR="00ED0A91" w:rsidRPr="00B37972" w:rsidRDefault="00ED0A91" w:rsidP="00B37972">
      <w:pPr>
        <w:pStyle w:val="Listparagraf"/>
        <w:tabs>
          <w:tab w:val="left" w:pos="567"/>
        </w:tabs>
        <w:suppressAutoHyphens w:val="0"/>
        <w:spacing w:after="0" w:line="240" w:lineRule="auto"/>
        <w:ind w:left="0"/>
        <w:jc w:val="both"/>
        <w:rPr>
          <w:rFonts w:ascii="Verdana" w:hAnsi="Verdana"/>
          <w:noProof/>
          <w:sz w:val="20"/>
        </w:rPr>
      </w:pPr>
    </w:p>
    <w:p w:rsidR="002A07F2" w:rsidRPr="00B37972" w:rsidRDefault="00ED0A91" w:rsidP="00B37972">
      <w:pPr>
        <w:pStyle w:val="Listparagraf"/>
        <w:numPr>
          <w:ilvl w:val="0"/>
          <w:numId w:val="5"/>
        </w:numPr>
        <w:tabs>
          <w:tab w:val="left" w:pos="567"/>
        </w:tabs>
        <w:suppressAutoHyphens w:val="0"/>
        <w:spacing w:after="0" w:line="240" w:lineRule="auto"/>
        <w:ind w:left="0" w:firstLine="0"/>
        <w:jc w:val="both"/>
        <w:rPr>
          <w:rFonts w:ascii="Verdana" w:hAnsi="Verdana"/>
          <w:noProof/>
          <w:sz w:val="20"/>
          <w:u w:val="single"/>
        </w:rPr>
      </w:pPr>
      <w:r w:rsidRPr="00B37972">
        <w:rPr>
          <w:rFonts w:ascii="Verdana" w:hAnsi="Verdana"/>
          <w:noProof/>
          <w:sz w:val="20"/>
          <w:u w:val="single"/>
        </w:rPr>
        <w:t xml:space="preserve">GRECO concludes that this recommendation has </w:t>
      </w:r>
      <w:r w:rsidR="00526AAE" w:rsidRPr="00B37972">
        <w:rPr>
          <w:rFonts w:ascii="Verdana" w:hAnsi="Verdana"/>
          <w:noProof/>
          <w:sz w:val="20"/>
          <w:u w:val="single"/>
        </w:rPr>
        <w:t xml:space="preserve">not </w:t>
      </w:r>
      <w:r w:rsidRPr="00B37972">
        <w:rPr>
          <w:rFonts w:ascii="Verdana" w:hAnsi="Verdana"/>
          <w:noProof/>
          <w:sz w:val="20"/>
          <w:u w:val="single"/>
        </w:rPr>
        <w:t>been implemented</w:t>
      </w:r>
      <w:r w:rsidRPr="00B37972">
        <w:rPr>
          <w:rFonts w:ascii="Verdana" w:hAnsi="Verdana"/>
          <w:noProof/>
          <w:sz w:val="20"/>
        </w:rPr>
        <w:t>.</w:t>
      </w:r>
    </w:p>
    <w:p w:rsidR="002B3E4F" w:rsidRPr="00B37972" w:rsidRDefault="002B3E4F" w:rsidP="00B37972">
      <w:pPr>
        <w:spacing w:after="0" w:line="240" w:lineRule="auto"/>
        <w:rPr>
          <w:rFonts w:ascii="Verdana" w:hAnsi="Verdana"/>
          <w:noProof/>
          <w:sz w:val="20"/>
          <w:highlight w:val="yellow"/>
        </w:rPr>
      </w:pPr>
    </w:p>
    <w:p w:rsidR="00D12937" w:rsidRPr="00B37972" w:rsidRDefault="00D12937" w:rsidP="00B37972">
      <w:pPr>
        <w:suppressAutoHyphens w:val="0"/>
        <w:spacing w:after="0" w:line="240" w:lineRule="auto"/>
        <w:jc w:val="both"/>
        <w:rPr>
          <w:rFonts w:ascii="Verdana" w:eastAsiaTheme="minorHAnsi" w:hAnsi="Verdana" w:cstheme="minorBidi"/>
          <w:iCs/>
          <w:sz w:val="20"/>
          <w:szCs w:val="24"/>
          <w:u w:val="single"/>
          <w:lang w:eastAsia="en-US"/>
        </w:rPr>
      </w:pPr>
      <w:r w:rsidRPr="00B37972">
        <w:rPr>
          <w:rFonts w:ascii="Verdana" w:eastAsiaTheme="minorHAnsi" w:hAnsi="Verdana" w:cstheme="minorBidi"/>
          <w:iCs/>
          <w:sz w:val="20"/>
          <w:szCs w:val="24"/>
          <w:u w:val="single"/>
          <w:lang w:eastAsia="en-US"/>
        </w:rPr>
        <w:t>Developments concerning the Natio</w:t>
      </w:r>
      <w:r w:rsidR="00160956" w:rsidRPr="00B37972">
        <w:rPr>
          <w:rFonts w:ascii="Verdana" w:eastAsiaTheme="minorHAnsi" w:hAnsi="Verdana" w:cstheme="minorBidi"/>
          <w:iCs/>
          <w:sz w:val="20"/>
          <w:szCs w:val="24"/>
          <w:u w:val="single"/>
          <w:lang w:eastAsia="en-US"/>
        </w:rPr>
        <w:t>nal Anti-Corruption Directorate</w:t>
      </w:r>
    </w:p>
    <w:p w:rsidR="00D12937" w:rsidRPr="00B37972" w:rsidRDefault="00D12937" w:rsidP="00B37972">
      <w:pPr>
        <w:pStyle w:val="Default"/>
        <w:suppressAutoHyphens w:val="0"/>
        <w:spacing w:line="240" w:lineRule="auto"/>
        <w:ind w:left="567"/>
        <w:jc w:val="both"/>
        <w:rPr>
          <w:rFonts w:ascii="Verdana" w:hAnsi="Verdana"/>
          <w:i/>
          <w:sz w:val="20"/>
          <w:u w:val="single"/>
        </w:rPr>
      </w:pPr>
    </w:p>
    <w:p w:rsidR="00D12937" w:rsidRPr="00B37972" w:rsidRDefault="006F58B5" w:rsidP="00B37972">
      <w:pPr>
        <w:pStyle w:val="Listparagraf"/>
        <w:numPr>
          <w:ilvl w:val="0"/>
          <w:numId w:val="5"/>
        </w:numPr>
        <w:tabs>
          <w:tab w:val="left" w:pos="567"/>
        </w:tabs>
        <w:suppressAutoHyphens w:val="0"/>
        <w:spacing w:after="0" w:line="240" w:lineRule="auto"/>
        <w:ind w:left="0" w:firstLine="0"/>
        <w:jc w:val="both"/>
        <w:rPr>
          <w:rFonts w:ascii="Verdana" w:hAnsi="Verdana"/>
          <w:i/>
          <w:sz w:val="20"/>
          <w:szCs w:val="24"/>
        </w:rPr>
      </w:pPr>
      <w:r w:rsidRPr="00B37972">
        <w:rPr>
          <w:rFonts w:ascii="Verdana" w:hAnsi="Verdana"/>
          <w:bCs/>
          <w:sz w:val="20"/>
          <w:szCs w:val="24"/>
        </w:rPr>
        <w:t xml:space="preserve">In the Ad hoc Report, </w:t>
      </w:r>
      <w:r w:rsidR="00D12937" w:rsidRPr="00B37972">
        <w:rPr>
          <w:rFonts w:ascii="Verdana" w:hAnsi="Verdana"/>
          <w:bCs/>
          <w:i/>
          <w:sz w:val="20"/>
          <w:szCs w:val="24"/>
        </w:rPr>
        <w:t xml:space="preserve">GRECO </w:t>
      </w:r>
      <w:r w:rsidR="00AA7B9C" w:rsidRPr="00B37972">
        <w:rPr>
          <w:rFonts w:ascii="Verdana" w:hAnsi="Verdana"/>
          <w:bCs/>
          <w:i/>
          <w:sz w:val="20"/>
          <w:szCs w:val="24"/>
        </w:rPr>
        <w:t>reiterate</w:t>
      </w:r>
      <w:r w:rsidRPr="00B37972">
        <w:rPr>
          <w:rFonts w:ascii="Verdana" w:hAnsi="Verdana"/>
          <w:bCs/>
          <w:i/>
          <w:sz w:val="20"/>
          <w:szCs w:val="24"/>
        </w:rPr>
        <w:t>d</w:t>
      </w:r>
      <w:r w:rsidR="00AA7B9C" w:rsidRPr="00B37972">
        <w:rPr>
          <w:rFonts w:ascii="Verdana" w:hAnsi="Verdana"/>
          <w:bCs/>
          <w:i/>
          <w:sz w:val="20"/>
          <w:szCs w:val="24"/>
        </w:rPr>
        <w:t xml:space="preserve"> its recommendation</w:t>
      </w:r>
      <w:r w:rsidR="00D12937" w:rsidRPr="00B37972">
        <w:rPr>
          <w:rFonts w:ascii="Verdana" w:hAnsi="Verdana"/>
          <w:bCs/>
          <w:i/>
          <w:sz w:val="20"/>
          <w:szCs w:val="24"/>
        </w:rPr>
        <w:t xml:space="preserve"> that </w:t>
      </w:r>
      <w:r w:rsidR="00D12937" w:rsidRPr="00B37972">
        <w:rPr>
          <w:rFonts w:ascii="Verdana" w:eastAsia="font312" w:hAnsi="Verdana" w:cs="font312"/>
          <w:bCs/>
          <w:i/>
          <w:sz w:val="20"/>
          <w:szCs w:val="24"/>
        </w:rPr>
        <w:t xml:space="preserve">the procedure for the appointment and revocation for the most senior prosecutorial functions other than the Prosecutor General, under </w:t>
      </w:r>
      <w:r w:rsidR="00E3650B" w:rsidRPr="00B37972">
        <w:rPr>
          <w:rFonts w:ascii="Verdana" w:eastAsia="font312" w:hAnsi="Verdana" w:cs="font312"/>
          <w:bCs/>
          <w:i/>
          <w:sz w:val="20"/>
          <w:szCs w:val="24"/>
        </w:rPr>
        <w:t>A</w:t>
      </w:r>
      <w:r w:rsidR="00D12937" w:rsidRPr="00B37972">
        <w:rPr>
          <w:rFonts w:ascii="Verdana" w:eastAsia="font312" w:hAnsi="Verdana" w:cs="font312"/>
          <w:bCs/>
          <w:i/>
          <w:sz w:val="20"/>
          <w:szCs w:val="24"/>
        </w:rPr>
        <w:t>rticle 54 of Law 303/2004, include a process that is both transparent and based on objective criteria, and that the Supreme Council of Magistracy is given a stronger role in this procedure.</w:t>
      </w:r>
    </w:p>
    <w:p w:rsidR="00E04A6B" w:rsidRPr="00B37972" w:rsidRDefault="00E04A6B" w:rsidP="00B37972">
      <w:pPr>
        <w:pStyle w:val="Listparagraf"/>
        <w:tabs>
          <w:tab w:val="left" w:pos="567"/>
        </w:tabs>
        <w:suppressAutoHyphens w:val="0"/>
        <w:spacing w:after="0" w:line="240" w:lineRule="auto"/>
        <w:ind w:left="0"/>
        <w:jc w:val="both"/>
        <w:rPr>
          <w:rFonts w:ascii="Verdana" w:hAnsi="Verdana"/>
          <w:sz w:val="20"/>
          <w:szCs w:val="24"/>
        </w:rPr>
      </w:pPr>
    </w:p>
    <w:p w:rsidR="00E04A6B" w:rsidRPr="00B37972" w:rsidRDefault="00E04A6B"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u w:val="single"/>
        </w:rPr>
        <w:t>GRECO</w:t>
      </w:r>
      <w:r w:rsidRPr="00B37972">
        <w:rPr>
          <w:rFonts w:ascii="Verdana" w:hAnsi="Verdana"/>
          <w:sz w:val="20"/>
          <w:szCs w:val="24"/>
        </w:rPr>
        <w:t xml:space="preserve"> recalls that </w:t>
      </w:r>
      <w:r w:rsidRPr="00B37972">
        <w:rPr>
          <w:rFonts w:ascii="Verdana" w:hAnsi="Verdana"/>
          <w:sz w:val="20"/>
          <w:szCs w:val="24"/>
          <w:u w:val="single"/>
        </w:rPr>
        <w:t>this recommendation</w:t>
      </w:r>
      <w:r w:rsidRPr="00B37972">
        <w:rPr>
          <w:rFonts w:ascii="Verdana" w:hAnsi="Verdana"/>
          <w:sz w:val="20"/>
          <w:szCs w:val="24"/>
        </w:rPr>
        <w:t xml:space="preserve"> forms part of the Fourth Round Evaluation Report and according to the Interim Compliance Report (GrecoRC4(2019)11)</w:t>
      </w:r>
      <w:r w:rsidR="00526AAE" w:rsidRPr="00B37972">
        <w:rPr>
          <w:rFonts w:ascii="Verdana" w:hAnsi="Verdana"/>
          <w:sz w:val="20"/>
          <w:szCs w:val="24"/>
        </w:rPr>
        <w:t xml:space="preserve"> adopted on</w:t>
      </w:r>
      <w:r w:rsidR="003719A8" w:rsidRPr="00B37972">
        <w:rPr>
          <w:rFonts w:ascii="Verdana" w:hAnsi="Verdana"/>
          <w:sz w:val="20"/>
          <w:szCs w:val="24"/>
        </w:rPr>
        <w:t xml:space="preserve"> </w:t>
      </w:r>
      <w:r w:rsidR="00DF570B">
        <w:rPr>
          <w:rFonts w:ascii="Verdana" w:hAnsi="Verdana"/>
          <w:sz w:val="20"/>
          <w:szCs w:val="24"/>
        </w:rPr>
        <w:t>2</w:t>
      </w:r>
      <w:r w:rsidR="00A87B17">
        <w:rPr>
          <w:rFonts w:ascii="Verdana" w:hAnsi="Verdana"/>
          <w:sz w:val="20"/>
          <w:szCs w:val="24"/>
        </w:rPr>
        <w:t>1</w:t>
      </w:r>
      <w:r w:rsidR="00DF570B">
        <w:rPr>
          <w:rFonts w:ascii="Verdana" w:hAnsi="Verdana"/>
          <w:sz w:val="20"/>
          <w:szCs w:val="24"/>
        </w:rPr>
        <w:t xml:space="preserve"> June</w:t>
      </w:r>
      <w:r w:rsidRPr="00B37972">
        <w:rPr>
          <w:rFonts w:ascii="Verdana" w:hAnsi="Verdana"/>
          <w:sz w:val="20"/>
          <w:szCs w:val="24"/>
        </w:rPr>
        <w:t xml:space="preserve">, </w:t>
      </w:r>
      <w:r w:rsidR="006F58B5" w:rsidRPr="00B37972">
        <w:rPr>
          <w:rFonts w:ascii="Verdana" w:hAnsi="Verdana"/>
          <w:sz w:val="20"/>
          <w:szCs w:val="24"/>
          <w:u w:val="single"/>
        </w:rPr>
        <w:t xml:space="preserve">remains </w:t>
      </w:r>
      <w:r w:rsidRPr="00B37972">
        <w:rPr>
          <w:rFonts w:ascii="Verdana" w:hAnsi="Verdana"/>
          <w:sz w:val="20"/>
          <w:szCs w:val="24"/>
          <w:u w:val="single"/>
        </w:rPr>
        <w:t>not implemented</w:t>
      </w:r>
      <w:r w:rsidR="00580E59" w:rsidRPr="00B37972">
        <w:rPr>
          <w:rFonts w:ascii="Verdana" w:hAnsi="Verdana"/>
          <w:sz w:val="20"/>
          <w:szCs w:val="24"/>
        </w:rPr>
        <w:t>. In particular, the amended Article 54 of Law 303/2004 does not respond to GRECO’s concerns regarding the need for objective selection criteria</w:t>
      </w:r>
      <w:r w:rsidR="00526AAE" w:rsidRPr="00B37972">
        <w:rPr>
          <w:rFonts w:ascii="Verdana" w:hAnsi="Verdana"/>
          <w:sz w:val="20"/>
          <w:szCs w:val="24"/>
        </w:rPr>
        <w:t xml:space="preserve"> for appointment of senior prosecutors</w:t>
      </w:r>
      <w:r w:rsidR="00801B13" w:rsidRPr="00B37972">
        <w:rPr>
          <w:rFonts w:ascii="Verdana" w:hAnsi="Verdana"/>
          <w:sz w:val="20"/>
          <w:szCs w:val="24"/>
        </w:rPr>
        <w:t>.</w:t>
      </w:r>
      <w:r w:rsidR="00580E59" w:rsidRPr="00B37972">
        <w:rPr>
          <w:rFonts w:ascii="Verdana" w:hAnsi="Verdana"/>
          <w:sz w:val="20"/>
          <w:szCs w:val="24"/>
        </w:rPr>
        <w:t xml:space="preserve"> </w:t>
      </w:r>
      <w:r w:rsidR="00163947" w:rsidRPr="00B37972">
        <w:rPr>
          <w:rFonts w:ascii="Verdana" w:hAnsi="Verdana"/>
          <w:sz w:val="20"/>
          <w:szCs w:val="24"/>
        </w:rPr>
        <w:t>In addition, t</w:t>
      </w:r>
      <w:r w:rsidR="00580E59" w:rsidRPr="00B37972">
        <w:rPr>
          <w:rFonts w:ascii="Verdana" w:hAnsi="Verdana"/>
          <w:sz w:val="20"/>
          <w:szCs w:val="24"/>
        </w:rPr>
        <w:t xml:space="preserve">he SCM </w:t>
      </w:r>
      <w:r w:rsidR="00963275" w:rsidRPr="00B37972">
        <w:rPr>
          <w:rFonts w:ascii="Verdana" w:hAnsi="Verdana"/>
          <w:sz w:val="20"/>
          <w:szCs w:val="24"/>
        </w:rPr>
        <w:t xml:space="preserve">has still not been given </w:t>
      </w:r>
      <w:r w:rsidR="00580E59" w:rsidRPr="00B37972">
        <w:rPr>
          <w:rFonts w:ascii="Verdana" w:hAnsi="Verdana"/>
          <w:sz w:val="20"/>
          <w:szCs w:val="24"/>
        </w:rPr>
        <w:t>a stronger role in the procedure of appointment and revocation of the most senior prosecutors</w:t>
      </w:r>
      <w:r w:rsidR="00963275" w:rsidRPr="00B37972">
        <w:rPr>
          <w:rFonts w:ascii="Verdana" w:hAnsi="Verdana"/>
          <w:sz w:val="20"/>
          <w:szCs w:val="24"/>
        </w:rPr>
        <w:t xml:space="preserve"> (</w:t>
      </w:r>
      <w:r w:rsidR="003F67AC" w:rsidRPr="00B37972">
        <w:rPr>
          <w:rFonts w:ascii="Verdana" w:hAnsi="Verdana"/>
          <w:sz w:val="20"/>
          <w:szCs w:val="24"/>
        </w:rPr>
        <w:t>for detailed analysis</w:t>
      </w:r>
      <w:r w:rsidR="00163947" w:rsidRPr="00B37972">
        <w:rPr>
          <w:rFonts w:ascii="Verdana" w:hAnsi="Verdana"/>
          <w:sz w:val="20"/>
          <w:szCs w:val="24"/>
        </w:rPr>
        <w:t xml:space="preserve"> of this recommendation</w:t>
      </w:r>
      <w:r w:rsidR="003F67AC" w:rsidRPr="00B37972">
        <w:rPr>
          <w:rFonts w:ascii="Verdana" w:hAnsi="Verdana"/>
          <w:sz w:val="20"/>
          <w:szCs w:val="24"/>
        </w:rPr>
        <w:t xml:space="preserve">, see </w:t>
      </w:r>
      <w:r w:rsidR="003F67AC" w:rsidRPr="005D6870">
        <w:rPr>
          <w:rFonts w:ascii="Verdana" w:hAnsi="Verdana"/>
          <w:sz w:val="20"/>
          <w:szCs w:val="24"/>
        </w:rPr>
        <w:t>paragraphs</w:t>
      </w:r>
      <w:r w:rsidR="005D6870">
        <w:rPr>
          <w:rFonts w:ascii="Verdana" w:hAnsi="Verdana"/>
          <w:sz w:val="20"/>
          <w:szCs w:val="24"/>
        </w:rPr>
        <w:t xml:space="preserve"> 71-78</w:t>
      </w:r>
      <w:r w:rsidR="003F67AC" w:rsidRPr="00B37972">
        <w:rPr>
          <w:rFonts w:ascii="Verdana" w:hAnsi="Verdana"/>
          <w:sz w:val="20"/>
          <w:szCs w:val="24"/>
        </w:rPr>
        <w:t xml:space="preserve"> of the Interim Compliance Report (GrecoRC4(2019)11</w:t>
      </w:r>
      <w:r w:rsidR="00963275" w:rsidRPr="00B37972">
        <w:rPr>
          <w:rFonts w:ascii="Verdana" w:hAnsi="Verdana"/>
          <w:sz w:val="20"/>
          <w:szCs w:val="24"/>
        </w:rPr>
        <w:t>)</w:t>
      </w:r>
      <w:r w:rsidR="00580E59" w:rsidRPr="00B37972">
        <w:rPr>
          <w:rFonts w:ascii="Verdana" w:hAnsi="Verdana"/>
          <w:sz w:val="20"/>
          <w:szCs w:val="24"/>
        </w:rPr>
        <w:t>.</w:t>
      </w:r>
    </w:p>
    <w:p w:rsidR="00963275" w:rsidRPr="00B37972" w:rsidRDefault="00963275" w:rsidP="00B37972">
      <w:pPr>
        <w:pStyle w:val="Listparagraf"/>
        <w:tabs>
          <w:tab w:val="left" w:pos="567"/>
        </w:tabs>
        <w:suppressAutoHyphens w:val="0"/>
        <w:spacing w:after="0" w:line="240" w:lineRule="auto"/>
        <w:ind w:left="0"/>
        <w:jc w:val="both"/>
        <w:rPr>
          <w:rFonts w:ascii="Verdana" w:hAnsi="Verdana"/>
          <w:sz w:val="20"/>
          <w:szCs w:val="24"/>
        </w:rPr>
      </w:pPr>
    </w:p>
    <w:p w:rsidR="00963275" w:rsidRPr="00B37972" w:rsidRDefault="00963275"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u w:val="single"/>
        </w:rPr>
        <w:t>GRECO will continue assessing the implementation of this recommendation in the framework of the on-going compliance procedure under the Fourth Evaluation Round</w:t>
      </w:r>
      <w:r w:rsidRPr="00B37972">
        <w:rPr>
          <w:rFonts w:ascii="Verdana" w:hAnsi="Verdana"/>
          <w:sz w:val="20"/>
          <w:szCs w:val="24"/>
        </w:rPr>
        <w:t>.</w:t>
      </w:r>
    </w:p>
    <w:p w:rsidR="00970E03" w:rsidRPr="00B37972" w:rsidRDefault="00970E03" w:rsidP="00B37972">
      <w:pPr>
        <w:pStyle w:val="Listparagraf"/>
        <w:tabs>
          <w:tab w:val="left" w:pos="567"/>
        </w:tabs>
        <w:suppressAutoHyphens w:val="0"/>
        <w:spacing w:after="0" w:line="240" w:lineRule="auto"/>
        <w:ind w:left="0"/>
        <w:jc w:val="both"/>
        <w:rPr>
          <w:rFonts w:ascii="Verdana" w:hAnsi="Verdana"/>
          <w:sz w:val="20"/>
          <w:szCs w:val="24"/>
        </w:rPr>
      </w:pPr>
    </w:p>
    <w:p w:rsidR="00B4457B" w:rsidRDefault="00B4457B">
      <w:pPr>
        <w:suppressAutoHyphens w:val="0"/>
        <w:spacing w:after="0" w:line="240" w:lineRule="auto"/>
        <w:rPr>
          <w:rFonts w:ascii="Verdana" w:hAnsi="Verdana"/>
          <w:b/>
          <w:sz w:val="20"/>
          <w:szCs w:val="24"/>
        </w:rPr>
      </w:pPr>
      <w:r>
        <w:rPr>
          <w:rFonts w:ascii="Verdana" w:hAnsi="Verdana"/>
          <w:b/>
          <w:sz w:val="20"/>
          <w:szCs w:val="24"/>
        </w:rPr>
        <w:br w:type="page"/>
      </w:r>
    </w:p>
    <w:p w:rsidR="00D12937" w:rsidRPr="00B37972" w:rsidRDefault="002A4BF9" w:rsidP="00B37972">
      <w:pPr>
        <w:suppressAutoHyphens w:val="0"/>
        <w:spacing w:after="0" w:line="240" w:lineRule="auto"/>
        <w:jc w:val="both"/>
        <w:rPr>
          <w:rFonts w:ascii="Verdana" w:hAnsi="Verdana"/>
          <w:sz w:val="20"/>
          <w:szCs w:val="24"/>
        </w:rPr>
      </w:pPr>
      <w:r w:rsidRPr="00B37972">
        <w:rPr>
          <w:rFonts w:ascii="Verdana" w:hAnsi="Verdana"/>
          <w:b/>
          <w:sz w:val="20"/>
          <w:szCs w:val="24"/>
        </w:rPr>
        <w:t>IV.</w:t>
      </w:r>
      <w:r w:rsidRPr="00B37972">
        <w:rPr>
          <w:rFonts w:ascii="Verdana" w:hAnsi="Verdana"/>
          <w:b/>
          <w:sz w:val="20"/>
          <w:szCs w:val="24"/>
        </w:rPr>
        <w:tab/>
      </w:r>
      <w:r w:rsidRPr="00B37972">
        <w:rPr>
          <w:rFonts w:ascii="Verdana" w:hAnsi="Verdana"/>
          <w:b/>
          <w:sz w:val="20"/>
          <w:szCs w:val="24"/>
          <w:u w:val="single"/>
        </w:rPr>
        <w:t>CONCLUSION</w:t>
      </w:r>
      <w:r w:rsidR="006E7D14" w:rsidRPr="00B37972">
        <w:rPr>
          <w:rFonts w:ascii="Verdana" w:hAnsi="Verdana"/>
          <w:b/>
          <w:sz w:val="20"/>
          <w:szCs w:val="24"/>
          <w:u w:val="single"/>
        </w:rPr>
        <w:t>S</w:t>
      </w:r>
    </w:p>
    <w:p w:rsidR="00D12937" w:rsidRPr="00B37972" w:rsidRDefault="00D12937" w:rsidP="00B37972">
      <w:pPr>
        <w:pStyle w:val="FootnoteText1"/>
        <w:suppressAutoHyphens w:val="0"/>
        <w:spacing w:line="240" w:lineRule="auto"/>
        <w:jc w:val="both"/>
        <w:rPr>
          <w:rFonts w:ascii="Verdana" w:hAnsi="Verdana"/>
          <w:szCs w:val="24"/>
        </w:rPr>
      </w:pPr>
    </w:p>
    <w:p w:rsidR="005D25BB" w:rsidRPr="00B37972" w:rsidRDefault="00D12937"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sz w:val="20"/>
          <w:szCs w:val="24"/>
        </w:rPr>
        <w:t xml:space="preserve">The issues raised above regarding the </w:t>
      </w:r>
      <w:r w:rsidRPr="00B37972">
        <w:rPr>
          <w:rFonts w:ascii="Verdana" w:hAnsi="Verdana"/>
          <w:sz w:val="20"/>
          <w:szCs w:val="24"/>
          <w:u w:val="single"/>
        </w:rPr>
        <w:t>judicial reform</w:t>
      </w:r>
      <w:r w:rsidRPr="00B37972">
        <w:rPr>
          <w:rFonts w:ascii="Verdana" w:hAnsi="Verdana"/>
          <w:sz w:val="20"/>
          <w:szCs w:val="24"/>
        </w:rPr>
        <w:t xml:space="preserve"> must be seen in the wider context of the </w:t>
      </w:r>
      <w:r w:rsidR="006E7D14" w:rsidRPr="00B37972">
        <w:rPr>
          <w:rFonts w:ascii="Verdana" w:hAnsi="Verdana"/>
          <w:sz w:val="20"/>
          <w:szCs w:val="24"/>
        </w:rPr>
        <w:t xml:space="preserve">controversial </w:t>
      </w:r>
      <w:r w:rsidRPr="00B37972">
        <w:rPr>
          <w:rFonts w:ascii="Verdana" w:hAnsi="Verdana"/>
          <w:sz w:val="20"/>
          <w:szCs w:val="24"/>
        </w:rPr>
        <w:t xml:space="preserve">justice system reform in Romania, which </w:t>
      </w:r>
      <w:r w:rsidR="00946203" w:rsidRPr="00B37972">
        <w:rPr>
          <w:rFonts w:ascii="Verdana" w:hAnsi="Verdana"/>
          <w:sz w:val="20"/>
          <w:szCs w:val="24"/>
        </w:rPr>
        <w:t xml:space="preserve">continues to </w:t>
      </w:r>
      <w:r w:rsidRPr="00B37972">
        <w:rPr>
          <w:rFonts w:ascii="Verdana" w:hAnsi="Verdana"/>
          <w:sz w:val="20"/>
          <w:szCs w:val="24"/>
        </w:rPr>
        <w:t xml:space="preserve">raise serious concerns </w:t>
      </w:r>
      <w:r w:rsidR="00946203" w:rsidRPr="00B37972">
        <w:rPr>
          <w:rFonts w:ascii="Verdana" w:hAnsi="Verdana"/>
          <w:sz w:val="20"/>
          <w:szCs w:val="24"/>
        </w:rPr>
        <w:t xml:space="preserve">among </w:t>
      </w:r>
      <w:r w:rsidRPr="00B37972">
        <w:rPr>
          <w:rFonts w:ascii="Verdana" w:hAnsi="Verdana"/>
          <w:sz w:val="20"/>
          <w:szCs w:val="24"/>
        </w:rPr>
        <w:t xml:space="preserve">national </w:t>
      </w:r>
      <w:r w:rsidR="00946203" w:rsidRPr="00B37972">
        <w:rPr>
          <w:rFonts w:ascii="Verdana" w:hAnsi="Verdana"/>
          <w:sz w:val="20"/>
          <w:szCs w:val="24"/>
        </w:rPr>
        <w:t xml:space="preserve">stakeholders, civil society </w:t>
      </w:r>
      <w:r w:rsidR="00AE6D05" w:rsidRPr="00B37972">
        <w:rPr>
          <w:rFonts w:ascii="Verdana" w:hAnsi="Verdana"/>
          <w:sz w:val="20"/>
          <w:szCs w:val="24"/>
        </w:rPr>
        <w:t xml:space="preserve">and </w:t>
      </w:r>
      <w:r w:rsidR="006E7D14" w:rsidRPr="00B37972">
        <w:rPr>
          <w:rFonts w:ascii="Verdana" w:hAnsi="Verdana"/>
          <w:sz w:val="20"/>
          <w:szCs w:val="24"/>
        </w:rPr>
        <w:t xml:space="preserve">the </w:t>
      </w:r>
      <w:r w:rsidR="00AE6D05" w:rsidRPr="00B37972">
        <w:rPr>
          <w:rFonts w:ascii="Verdana" w:hAnsi="Verdana"/>
          <w:sz w:val="20"/>
          <w:szCs w:val="24"/>
        </w:rPr>
        <w:t>international</w:t>
      </w:r>
      <w:r w:rsidR="006E7D14" w:rsidRPr="00B37972">
        <w:rPr>
          <w:rFonts w:ascii="Verdana" w:hAnsi="Verdana"/>
          <w:sz w:val="20"/>
          <w:szCs w:val="24"/>
        </w:rPr>
        <w:t xml:space="preserve"> community</w:t>
      </w:r>
      <w:r w:rsidR="00946203" w:rsidRPr="00B37972">
        <w:rPr>
          <w:rFonts w:ascii="Verdana" w:hAnsi="Verdana"/>
          <w:sz w:val="20"/>
          <w:szCs w:val="24"/>
        </w:rPr>
        <w:t>.</w:t>
      </w:r>
      <w:r w:rsidR="005D2B7B" w:rsidRPr="00B37972">
        <w:rPr>
          <w:rFonts w:ascii="Verdana" w:hAnsi="Verdana"/>
          <w:sz w:val="20"/>
          <w:szCs w:val="24"/>
        </w:rPr>
        <w:t xml:space="preserve"> </w:t>
      </w:r>
      <w:r w:rsidR="005C7E5F" w:rsidRPr="00B37972">
        <w:rPr>
          <w:rFonts w:ascii="Verdana" w:hAnsi="Verdana"/>
          <w:sz w:val="20"/>
        </w:rPr>
        <w:t xml:space="preserve">GRECO </w:t>
      </w:r>
      <w:r w:rsidR="005D2B7B" w:rsidRPr="00B37972">
        <w:rPr>
          <w:rFonts w:ascii="Verdana" w:hAnsi="Verdana"/>
          <w:sz w:val="20"/>
        </w:rPr>
        <w:t xml:space="preserve">notes </w:t>
      </w:r>
      <w:r w:rsidR="005C7E5F" w:rsidRPr="00B37972">
        <w:rPr>
          <w:rFonts w:ascii="Verdana" w:hAnsi="Verdana"/>
          <w:sz w:val="20"/>
        </w:rPr>
        <w:t xml:space="preserve">that </w:t>
      </w:r>
      <w:r w:rsidR="005D25BB" w:rsidRPr="00B37972">
        <w:rPr>
          <w:rFonts w:ascii="Verdana" w:hAnsi="Verdana"/>
          <w:sz w:val="20"/>
        </w:rPr>
        <w:t xml:space="preserve">only </w:t>
      </w:r>
      <w:r w:rsidR="005C7E5F" w:rsidRPr="00B37972">
        <w:rPr>
          <w:rFonts w:ascii="Verdana" w:hAnsi="Verdana"/>
          <w:sz w:val="20"/>
        </w:rPr>
        <w:t xml:space="preserve">one of the five specific recommendations made in its Ad hoc Report has been </w:t>
      </w:r>
      <w:r w:rsidR="006E7D14" w:rsidRPr="00B37972">
        <w:rPr>
          <w:rFonts w:ascii="Verdana" w:hAnsi="Verdana"/>
          <w:sz w:val="20"/>
        </w:rPr>
        <w:t>complied with</w:t>
      </w:r>
      <w:r w:rsidR="005C7E5F" w:rsidRPr="00B37972">
        <w:rPr>
          <w:rFonts w:ascii="Verdana" w:hAnsi="Verdana"/>
          <w:sz w:val="20"/>
        </w:rPr>
        <w:t xml:space="preserve">, </w:t>
      </w:r>
      <w:r w:rsidR="004015F1" w:rsidRPr="00B37972">
        <w:rPr>
          <w:rFonts w:ascii="Verdana" w:hAnsi="Verdana"/>
          <w:sz w:val="20"/>
        </w:rPr>
        <w:t>and</w:t>
      </w:r>
      <w:r w:rsidR="005C7E5F" w:rsidRPr="00B37972">
        <w:rPr>
          <w:rFonts w:ascii="Verdana" w:hAnsi="Verdana"/>
          <w:sz w:val="20"/>
        </w:rPr>
        <w:t xml:space="preserve"> </w:t>
      </w:r>
      <w:r w:rsidR="005C7D1A" w:rsidRPr="00B37972">
        <w:rPr>
          <w:rFonts w:ascii="Verdana" w:hAnsi="Verdana"/>
          <w:sz w:val="20"/>
        </w:rPr>
        <w:t xml:space="preserve">that </w:t>
      </w:r>
      <w:r w:rsidR="005C7E5F" w:rsidRPr="00B37972">
        <w:rPr>
          <w:rFonts w:ascii="Verdana" w:hAnsi="Verdana"/>
          <w:sz w:val="20"/>
        </w:rPr>
        <w:t xml:space="preserve">the </w:t>
      </w:r>
      <w:r w:rsidR="006E7D14" w:rsidRPr="00B37972">
        <w:rPr>
          <w:rFonts w:ascii="Verdana" w:hAnsi="Verdana"/>
          <w:sz w:val="20"/>
        </w:rPr>
        <w:t xml:space="preserve">four remaining </w:t>
      </w:r>
      <w:r w:rsidR="004015F1" w:rsidRPr="00B37972">
        <w:rPr>
          <w:rFonts w:ascii="Verdana" w:hAnsi="Verdana"/>
          <w:sz w:val="20"/>
        </w:rPr>
        <w:t xml:space="preserve">recommendations </w:t>
      </w:r>
      <w:r w:rsidR="005C7E5F" w:rsidRPr="00B37972">
        <w:rPr>
          <w:rFonts w:ascii="Verdana" w:hAnsi="Verdana"/>
          <w:sz w:val="20"/>
        </w:rPr>
        <w:t xml:space="preserve">have not been implemented. In addition, the two recommendations </w:t>
      </w:r>
      <w:r w:rsidR="006E7D14" w:rsidRPr="00B37972">
        <w:rPr>
          <w:rFonts w:ascii="Verdana" w:hAnsi="Verdana"/>
          <w:sz w:val="20"/>
        </w:rPr>
        <w:t xml:space="preserve">reiterated </w:t>
      </w:r>
      <w:r w:rsidR="005C7E5F" w:rsidRPr="00B37972">
        <w:rPr>
          <w:rFonts w:ascii="Verdana" w:hAnsi="Verdana"/>
          <w:sz w:val="20"/>
        </w:rPr>
        <w:t>from the Fourth Evaluation Round</w:t>
      </w:r>
      <w:r w:rsidR="006E7D14" w:rsidRPr="00B37972">
        <w:rPr>
          <w:rFonts w:ascii="Verdana" w:hAnsi="Verdana"/>
          <w:sz w:val="20"/>
        </w:rPr>
        <w:t xml:space="preserve"> are still pending in the Fourth Round Compliance Procedure</w:t>
      </w:r>
      <w:r w:rsidR="005D25BB" w:rsidRPr="00B37972">
        <w:rPr>
          <w:rFonts w:ascii="Verdana" w:hAnsi="Verdana"/>
          <w:sz w:val="20"/>
        </w:rPr>
        <w:t>.</w:t>
      </w:r>
      <w:r w:rsidR="005712C2" w:rsidRPr="00B37972">
        <w:rPr>
          <w:rFonts w:ascii="Verdana" w:hAnsi="Verdana"/>
          <w:sz w:val="20"/>
        </w:rPr>
        <w:t xml:space="preserve"> That said, GRECO welcomes that on 4 June 2019, the Romanian Prime Minister announced the intention to abandon the controversial judicial reforms,</w:t>
      </w:r>
      <w:r w:rsidR="005712C2" w:rsidRPr="00B37972">
        <w:rPr>
          <w:rStyle w:val="Referinnotdesubsol"/>
          <w:rFonts w:ascii="Verdana" w:hAnsi="Verdana"/>
          <w:sz w:val="20"/>
        </w:rPr>
        <w:footnoteReference w:id="25"/>
      </w:r>
      <w:r w:rsidR="005712C2" w:rsidRPr="00B37972">
        <w:rPr>
          <w:rFonts w:ascii="Verdana" w:hAnsi="Verdana"/>
          <w:sz w:val="20"/>
        </w:rPr>
        <w:t xml:space="preserve"> and encourages the authorities to fully implement GRECO’s recommendations without any further delay.</w:t>
      </w:r>
    </w:p>
    <w:p w:rsidR="005D25BB" w:rsidRPr="00B37972" w:rsidRDefault="005D25BB" w:rsidP="00B37972">
      <w:pPr>
        <w:pStyle w:val="Listparagraf"/>
        <w:tabs>
          <w:tab w:val="left" w:pos="567"/>
        </w:tabs>
        <w:suppressAutoHyphens w:val="0"/>
        <w:spacing w:after="0" w:line="240" w:lineRule="auto"/>
        <w:ind w:left="0"/>
        <w:jc w:val="both"/>
        <w:rPr>
          <w:rFonts w:ascii="Verdana" w:hAnsi="Verdana"/>
          <w:sz w:val="20"/>
          <w:szCs w:val="24"/>
        </w:rPr>
      </w:pPr>
    </w:p>
    <w:p w:rsidR="005D25BB" w:rsidRPr="00B37972" w:rsidRDefault="00576EAB" w:rsidP="00B37972">
      <w:pPr>
        <w:pStyle w:val="Listparagraf"/>
        <w:numPr>
          <w:ilvl w:val="0"/>
          <w:numId w:val="5"/>
        </w:numPr>
        <w:tabs>
          <w:tab w:val="left" w:pos="567"/>
        </w:tabs>
        <w:suppressAutoHyphens w:val="0"/>
        <w:spacing w:after="0" w:line="240" w:lineRule="auto"/>
        <w:ind w:left="0" w:firstLine="0"/>
        <w:jc w:val="both"/>
        <w:rPr>
          <w:rFonts w:ascii="Verdana" w:hAnsi="Verdana"/>
          <w:sz w:val="20"/>
          <w:szCs w:val="24"/>
        </w:rPr>
      </w:pPr>
      <w:r w:rsidRPr="00B37972">
        <w:rPr>
          <w:rFonts w:ascii="Verdana" w:hAnsi="Verdana"/>
          <w:noProof/>
          <w:sz w:val="20"/>
        </w:rPr>
        <w:t>GRECO notes the progress achieved with respect to</w:t>
      </w:r>
      <w:r w:rsidRPr="00B37972">
        <w:rPr>
          <w:rFonts w:ascii="Verdana" w:hAnsi="Verdana"/>
          <w:sz w:val="20"/>
          <w:szCs w:val="24"/>
        </w:rPr>
        <w:t xml:space="preserve"> eliminating </w:t>
      </w:r>
      <w:r w:rsidRPr="00B37972">
        <w:rPr>
          <w:rFonts w:ascii="Verdana" w:hAnsi="Verdana"/>
          <w:sz w:val="20"/>
          <w:szCs w:val="24"/>
          <w:u w:val="single"/>
        </w:rPr>
        <w:t>incompatibilities for judges and prosecutors</w:t>
      </w:r>
      <w:r w:rsidRPr="00B37972">
        <w:rPr>
          <w:rFonts w:ascii="Verdana" w:hAnsi="Verdana"/>
          <w:sz w:val="20"/>
          <w:szCs w:val="24"/>
        </w:rPr>
        <w:t xml:space="preserve">, </w:t>
      </w:r>
      <w:r w:rsidR="00801B13" w:rsidRPr="00B37972">
        <w:rPr>
          <w:rFonts w:ascii="Verdana" w:hAnsi="Verdana"/>
          <w:sz w:val="20"/>
          <w:szCs w:val="24"/>
        </w:rPr>
        <w:t xml:space="preserve">i.e. that they cannot </w:t>
      </w:r>
      <w:r w:rsidR="009B2E41" w:rsidRPr="00B37972">
        <w:rPr>
          <w:rFonts w:ascii="Verdana" w:hAnsi="Verdana"/>
          <w:sz w:val="20"/>
          <w:szCs w:val="24"/>
        </w:rPr>
        <w:t xml:space="preserve">perform </w:t>
      </w:r>
      <w:r w:rsidR="003719A8" w:rsidRPr="00B37972">
        <w:rPr>
          <w:rFonts w:ascii="Verdana" w:hAnsi="Verdana"/>
          <w:sz w:val="20"/>
          <w:szCs w:val="24"/>
        </w:rPr>
        <w:t>outside</w:t>
      </w:r>
      <w:r w:rsidR="00801B13" w:rsidRPr="00B37972">
        <w:rPr>
          <w:rFonts w:ascii="Verdana" w:hAnsi="Verdana"/>
          <w:sz w:val="20"/>
          <w:szCs w:val="24"/>
        </w:rPr>
        <w:t xml:space="preserve"> activities, other than higher education </w:t>
      </w:r>
      <w:r w:rsidRPr="00B37972">
        <w:rPr>
          <w:rFonts w:ascii="Verdana" w:hAnsi="Verdana"/>
          <w:sz w:val="20"/>
          <w:szCs w:val="24"/>
        </w:rPr>
        <w:t xml:space="preserve">and </w:t>
      </w:r>
      <w:r w:rsidR="00801B13" w:rsidRPr="00B37972">
        <w:rPr>
          <w:rFonts w:ascii="Verdana" w:hAnsi="Verdana"/>
          <w:sz w:val="20"/>
          <w:szCs w:val="24"/>
        </w:rPr>
        <w:t>didactic functions</w:t>
      </w:r>
      <w:r w:rsidRPr="00B37972">
        <w:rPr>
          <w:rFonts w:ascii="Verdana" w:hAnsi="Verdana"/>
          <w:sz w:val="20"/>
          <w:szCs w:val="24"/>
        </w:rPr>
        <w:t xml:space="preserve">. </w:t>
      </w:r>
      <w:r w:rsidR="005C7E5F" w:rsidRPr="00B37972">
        <w:rPr>
          <w:rFonts w:ascii="Verdana" w:hAnsi="Verdana"/>
          <w:sz w:val="20"/>
        </w:rPr>
        <w:t xml:space="preserve">GRECO </w:t>
      </w:r>
      <w:r w:rsidRPr="00B37972">
        <w:rPr>
          <w:rFonts w:ascii="Verdana" w:hAnsi="Verdana"/>
          <w:sz w:val="20"/>
        </w:rPr>
        <w:t xml:space="preserve">also </w:t>
      </w:r>
      <w:r w:rsidR="005C7E5F" w:rsidRPr="00B37972">
        <w:rPr>
          <w:rFonts w:ascii="Verdana" w:hAnsi="Verdana"/>
          <w:sz w:val="20"/>
        </w:rPr>
        <w:t xml:space="preserve">acknowledges that some </w:t>
      </w:r>
      <w:r w:rsidR="00AB37E8" w:rsidRPr="00B37972">
        <w:rPr>
          <w:rFonts w:ascii="Verdana" w:hAnsi="Verdana"/>
          <w:sz w:val="20"/>
        </w:rPr>
        <w:t xml:space="preserve">initial </w:t>
      </w:r>
      <w:r w:rsidR="005C7E5F" w:rsidRPr="00B37972">
        <w:rPr>
          <w:rFonts w:ascii="Verdana" w:hAnsi="Verdana"/>
          <w:sz w:val="20"/>
        </w:rPr>
        <w:t xml:space="preserve">measures have been taken by the authorities to address the </w:t>
      </w:r>
      <w:r w:rsidR="00AB37E8" w:rsidRPr="00B37972">
        <w:rPr>
          <w:rFonts w:ascii="Verdana" w:hAnsi="Verdana"/>
          <w:sz w:val="20"/>
        </w:rPr>
        <w:t xml:space="preserve">issue of early </w:t>
      </w:r>
      <w:r w:rsidR="005C7E5F" w:rsidRPr="00B37972">
        <w:rPr>
          <w:rFonts w:ascii="Verdana" w:hAnsi="Verdana"/>
          <w:sz w:val="20"/>
        </w:rPr>
        <w:t xml:space="preserve">retirement of prosecutors and judges </w:t>
      </w:r>
      <w:r w:rsidR="00AB37E8" w:rsidRPr="00B37972">
        <w:rPr>
          <w:rFonts w:ascii="Verdana" w:hAnsi="Verdana"/>
          <w:sz w:val="20"/>
        </w:rPr>
        <w:t>and its consequences</w:t>
      </w:r>
      <w:r w:rsidR="005C7E5F" w:rsidRPr="00B37972">
        <w:rPr>
          <w:rFonts w:ascii="Verdana" w:hAnsi="Verdana"/>
          <w:sz w:val="20"/>
        </w:rPr>
        <w:t xml:space="preserve">. </w:t>
      </w:r>
      <w:r w:rsidRPr="00B37972">
        <w:rPr>
          <w:rFonts w:ascii="Verdana" w:hAnsi="Verdana"/>
          <w:sz w:val="20"/>
        </w:rPr>
        <w:t>That said</w:t>
      </w:r>
      <w:r w:rsidR="005C7E5F" w:rsidRPr="00B37972">
        <w:rPr>
          <w:rFonts w:ascii="Verdana" w:hAnsi="Verdana"/>
          <w:sz w:val="20"/>
        </w:rPr>
        <w:t xml:space="preserve">, </w:t>
      </w:r>
      <w:r w:rsidR="00AB37E8" w:rsidRPr="00B37972">
        <w:rPr>
          <w:rFonts w:ascii="Verdana" w:hAnsi="Verdana"/>
          <w:sz w:val="20"/>
        </w:rPr>
        <w:t>for the most part of the concerns, no tangible results have been achieved.</w:t>
      </w:r>
    </w:p>
    <w:p w:rsidR="005D25BB" w:rsidRPr="00B37972" w:rsidRDefault="005D25BB" w:rsidP="00B37972">
      <w:pPr>
        <w:pStyle w:val="Listparagraf"/>
        <w:tabs>
          <w:tab w:val="left" w:pos="567"/>
        </w:tabs>
        <w:suppressAutoHyphens w:val="0"/>
        <w:spacing w:after="0" w:line="240" w:lineRule="auto"/>
        <w:ind w:left="0"/>
        <w:jc w:val="both"/>
        <w:rPr>
          <w:rFonts w:ascii="Verdana" w:hAnsi="Verdana"/>
          <w:sz w:val="20"/>
          <w:szCs w:val="24"/>
        </w:rPr>
      </w:pPr>
    </w:p>
    <w:p w:rsidR="005D2B7B" w:rsidRPr="00B37972" w:rsidRDefault="00B8519F" w:rsidP="00B37972">
      <w:pPr>
        <w:pStyle w:val="Listparagraf"/>
        <w:numPr>
          <w:ilvl w:val="0"/>
          <w:numId w:val="5"/>
        </w:numPr>
        <w:tabs>
          <w:tab w:val="left" w:pos="567"/>
        </w:tabs>
        <w:suppressAutoHyphens w:val="0"/>
        <w:spacing w:after="0" w:line="240" w:lineRule="auto"/>
        <w:ind w:left="0" w:firstLine="0"/>
        <w:jc w:val="both"/>
        <w:rPr>
          <w:rFonts w:ascii="Verdana" w:hAnsi="Verdana" w:cstheme="minorHAnsi"/>
          <w:sz w:val="20"/>
          <w:szCs w:val="24"/>
        </w:rPr>
      </w:pPr>
      <w:r w:rsidRPr="00B37972">
        <w:rPr>
          <w:rFonts w:ascii="Verdana" w:hAnsi="Verdana"/>
          <w:sz w:val="20"/>
        </w:rPr>
        <w:t xml:space="preserve">GRECO is </w:t>
      </w:r>
      <w:r w:rsidR="004015F1" w:rsidRPr="00B37972">
        <w:rPr>
          <w:rFonts w:ascii="Verdana" w:hAnsi="Verdana"/>
          <w:sz w:val="20"/>
        </w:rPr>
        <w:t>particular</w:t>
      </w:r>
      <w:r w:rsidRPr="00B37972">
        <w:rPr>
          <w:rFonts w:ascii="Verdana" w:hAnsi="Verdana"/>
          <w:sz w:val="20"/>
        </w:rPr>
        <w:t>ly</w:t>
      </w:r>
      <w:r w:rsidR="004015F1" w:rsidRPr="00B37972">
        <w:rPr>
          <w:rFonts w:ascii="Verdana" w:hAnsi="Verdana"/>
          <w:sz w:val="20"/>
        </w:rPr>
        <w:t xml:space="preserve"> concern</w:t>
      </w:r>
      <w:r w:rsidRPr="00B37972">
        <w:rPr>
          <w:rFonts w:ascii="Verdana" w:hAnsi="Verdana"/>
          <w:sz w:val="20"/>
        </w:rPr>
        <w:t>ed</w:t>
      </w:r>
      <w:r w:rsidR="004015F1" w:rsidRPr="00B37972">
        <w:rPr>
          <w:rFonts w:ascii="Verdana" w:hAnsi="Verdana"/>
          <w:sz w:val="20"/>
        </w:rPr>
        <w:t xml:space="preserve"> </w:t>
      </w:r>
      <w:r w:rsidRPr="00B37972">
        <w:rPr>
          <w:rFonts w:ascii="Verdana" w:hAnsi="Verdana"/>
          <w:sz w:val="20"/>
        </w:rPr>
        <w:t xml:space="preserve">by </w:t>
      </w:r>
      <w:r w:rsidR="004015F1" w:rsidRPr="00B37972">
        <w:rPr>
          <w:rFonts w:ascii="Verdana" w:hAnsi="Verdana"/>
          <w:sz w:val="20"/>
        </w:rPr>
        <w:t xml:space="preserve">the fact that </w:t>
      </w:r>
      <w:r w:rsidR="005D2B7B" w:rsidRPr="00B37972">
        <w:rPr>
          <w:rFonts w:ascii="Verdana" w:hAnsi="Verdana"/>
          <w:sz w:val="20"/>
        </w:rPr>
        <w:t>the recommendation to abandon the setting</w:t>
      </w:r>
      <w:r w:rsidR="009B2E41" w:rsidRPr="00B37972">
        <w:rPr>
          <w:rFonts w:ascii="Verdana" w:hAnsi="Verdana"/>
          <w:sz w:val="20"/>
        </w:rPr>
        <w:t>-</w:t>
      </w:r>
      <w:r w:rsidR="005D2B7B" w:rsidRPr="00B37972">
        <w:rPr>
          <w:rFonts w:ascii="Verdana" w:hAnsi="Verdana"/>
          <w:sz w:val="20"/>
        </w:rPr>
        <w:t xml:space="preserve">up of the Section for the Investigation of the Offences in the Judiciary has been </w:t>
      </w:r>
      <w:r w:rsidR="00801B13" w:rsidRPr="00B37972">
        <w:rPr>
          <w:rFonts w:ascii="Verdana" w:hAnsi="Verdana"/>
          <w:sz w:val="20"/>
        </w:rPr>
        <w:t>completely</w:t>
      </w:r>
      <w:r w:rsidR="009E4753" w:rsidRPr="00B37972">
        <w:rPr>
          <w:rFonts w:ascii="Verdana" w:hAnsi="Verdana"/>
          <w:sz w:val="20"/>
        </w:rPr>
        <w:t xml:space="preserve"> disregarded</w:t>
      </w:r>
      <w:r w:rsidR="00801B13" w:rsidRPr="00B37972">
        <w:rPr>
          <w:rFonts w:ascii="Verdana" w:hAnsi="Verdana"/>
          <w:sz w:val="20"/>
        </w:rPr>
        <w:t>.</w:t>
      </w:r>
      <w:r w:rsidR="005D2B7B" w:rsidRPr="00B37972">
        <w:rPr>
          <w:rFonts w:ascii="Verdana" w:hAnsi="Verdana"/>
          <w:sz w:val="20"/>
        </w:rPr>
        <w:t xml:space="preserve"> </w:t>
      </w:r>
      <w:r w:rsidR="00AB37E8" w:rsidRPr="00B37972">
        <w:rPr>
          <w:rFonts w:ascii="Verdana" w:hAnsi="Verdana"/>
          <w:sz w:val="20"/>
        </w:rPr>
        <w:t>Above all, the new legislation includes several amendments</w:t>
      </w:r>
      <w:r w:rsidR="00E875A8">
        <w:rPr>
          <w:rFonts w:ascii="Verdana" w:hAnsi="Verdana"/>
          <w:sz w:val="20"/>
        </w:rPr>
        <w:t xml:space="preserve"> </w:t>
      </w:r>
      <w:r w:rsidR="007F10DE">
        <w:rPr>
          <w:rFonts w:ascii="Verdana" w:hAnsi="Verdana"/>
          <w:i/>
          <w:sz w:val="20"/>
        </w:rPr>
        <w:t>inter alia</w:t>
      </w:r>
      <w:r w:rsidR="007F10DE" w:rsidRPr="007F10DE">
        <w:rPr>
          <w:rFonts w:ascii="Verdana" w:hAnsi="Verdana"/>
          <w:sz w:val="20"/>
        </w:rPr>
        <w:t xml:space="preserve"> </w:t>
      </w:r>
      <w:r w:rsidR="00E875A8">
        <w:rPr>
          <w:rFonts w:ascii="Verdana" w:hAnsi="Verdana"/>
          <w:sz w:val="20"/>
        </w:rPr>
        <w:t xml:space="preserve">relating to the appointments and dismissals of senior prosecutors, </w:t>
      </w:r>
      <w:r w:rsidR="007F10DE">
        <w:rPr>
          <w:rFonts w:ascii="Verdana" w:hAnsi="Verdana"/>
          <w:sz w:val="20"/>
        </w:rPr>
        <w:t xml:space="preserve">functional independence of prosecutors, </w:t>
      </w:r>
      <w:r w:rsidR="00E875A8">
        <w:rPr>
          <w:rFonts w:ascii="Verdana" w:hAnsi="Verdana"/>
          <w:sz w:val="20"/>
        </w:rPr>
        <w:t>personal liability of judges and prosecutors</w:t>
      </w:r>
      <w:r w:rsidR="007F10DE">
        <w:rPr>
          <w:rFonts w:ascii="Verdana" w:hAnsi="Verdana"/>
          <w:sz w:val="20"/>
        </w:rPr>
        <w:t xml:space="preserve"> etc.</w:t>
      </w:r>
      <w:r w:rsidR="00AB37E8" w:rsidRPr="00B37972">
        <w:rPr>
          <w:rFonts w:ascii="Verdana" w:hAnsi="Verdana"/>
          <w:sz w:val="20"/>
        </w:rPr>
        <w:t>, which, taken together, represent serious threats to the independence of the judiciary in Romania.</w:t>
      </w:r>
    </w:p>
    <w:p w:rsidR="00AB37E8" w:rsidRPr="00B37972" w:rsidRDefault="00AB37E8" w:rsidP="00B37972">
      <w:pPr>
        <w:pStyle w:val="Listparagraf"/>
        <w:tabs>
          <w:tab w:val="left" w:pos="567"/>
        </w:tabs>
        <w:suppressAutoHyphens w:val="0"/>
        <w:spacing w:after="0" w:line="240" w:lineRule="auto"/>
        <w:ind w:left="0"/>
        <w:jc w:val="both"/>
        <w:rPr>
          <w:rFonts w:ascii="Verdana" w:hAnsi="Verdana" w:cstheme="minorHAnsi"/>
          <w:sz w:val="20"/>
          <w:szCs w:val="24"/>
        </w:rPr>
      </w:pPr>
    </w:p>
    <w:p w:rsidR="00110804" w:rsidRPr="00B37972" w:rsidRDefault="00801B13" w:rsidP="00B37972">
      <w:pPr>
        <w:pStyle w:val="Listparagraf"/>
        <w:numPr>
          <w:ilvl w:val="0"/>
          <w:numId w:val="5"/>
        </w:numPr>
        <w:tabs>
          <w:tab w:val="left" w:pos="567"/>
        </w:tabs>
        <w:suppressAutoHyphens w:val="0"/>
        <w:spacing w:after="0" w:line="240" w:lineRule="auto"/>
        <w:ind w:left="0" w:firstLine="0"/>
        <w:jc w:val="both"/>
        <w:rPr>
          <w:rFonts w:ascii="Verdana" w:hAnsi="Verdana" w:cstheme="minorHAnsi"/>
          <w:sz w:val="20"/>
          <w:szCs w:val="24"/>
        </w:rPr>
      </w:pPr>
      <w:r w:rsidRPr="00B37972">
        <w:rPr>
          <w:rFonts w:ascii="Verdana" w:hAnsi="Verdana" w:cstheme="minorHAnsi"/>
          <w:sz w:val="20"/>
          <w:szCs w:val="24"/>
        </w:rPr>
        <w:t>The purpose of the a</w:t>
      </w:r>
      <w:r w:rsidR="00AB37E8" w:rsidRPr="00B37972">
        <w:rPr>
          <w:rFonts w:ascii="Verdana" w:hAnsi="Verdana" w:cstheme="minorHAnsi"/>
          <w:sz w:val="20"/>
          <w:szCs w:val="24"/>
        </w:rPr>
        <w:t xml:space="preserve">d hoc procedure under Rule 34 of GRECO’s Rules of Procedure </w:t>
      </w:r>
      <w:r w:rsidR="009B2E41" w:rsidRPr="00B37972">
        <w:rPr>
          <w:rFonts w:ascii="Verdana" w:hAnsi="Verdana" w:cstheme="minorHAnsi"/>
          <w:sz w:val="20"/>
          <w:szCs w:val="24"/>
        </w:rPr>
        <w:t xml:space="preserve">which is </w:t>
      </w:r>
      <w:r w:rsidR="00AB37E8" w:rsidRPr="00B37972">
        <w:rPr>
          <w:rFonts w:ascii="Verdana" w:hAnsi="Verdana" w:cstheme="minorHAnsi"/>
          <w:sz w:val="20"/>
          <w:szCs w:val="24"/>
        </w:rPr>
        <w:t xml:space="preserve">to shed light </w:t>
      </w:r>
      <w:r w:rsidRPr="00B37972">
        <w:rPr>
          <w:rFonts w:ascii="Verdana" w:hAnsi="Verdana" w:cstheme="minorHAnsi"/>
          <w:sz w:val="20"/>
          <w:szCs w:val="24"/>
        </w:rPr>
        <w:t xml:space="preserve">and analyse </w:t>
      </w:r>
      <w:r w:rsidR="00AB37E8" w:rsidRPr="00B37972">
        <w:rPr>
          <w:rFonts w:ascii="Verdana" w:hAnsi="Verdana" w:cstheme="minorHAnsi"/>
          <w:sz w:val="20"/>
          <w:szCs w:val="24"/>
        </w:rPr>
        <w:t xml:space="preserve">the legislative reform concerning the judiciary in Romania has been achieved and GRECO has stated its position in this respect. </w:t>
      </w:r>
      <w:r w:rsidR="00110804" w:rsidRPr="00B37972">
        <w:rPr>
          <w:rFonts w:ascii="Verdana" w:hAnsi="Verdana" w:cstheme="minorHAnsi"/>
          <w:sz w:val="20"/>
          <w:szCs w:val="24"/>
        </w:rPr>
        <w:t xml:space="preserve">In view of the fact that the issues covered under the present report are </w:t>
      </w:r>
      <w:r w:rsidR="00AB37E8" w:rsidRPr="00B37972">
        <w:rPr>
          <w:rFonts w:ascii="Verdana" w:hAnsi="Verdana" w:cstheme="minorHAnsi"/>
          <w:sz w:val="20"/>
          <w:szCs w:val="24"/>
        </w:rPr>
        <w:t xml:space="preserve">particularly </w:t>
      </w:r>
      <w:r w:rsidR="00110804" w:rsidRPr="00B37972">
        <w:rPr>
          <w:rFonts w:ascii="Verdana" w:hAnsi="Verdana" w:cstheme="minorHAnsi"/>
          <w:sz w:val="20"/>
          <w:szCs w:val="24"/>
        </w:rPr>
        <w:t xml:space="preserve">relevant to the themes </w:t>
      </w:r>
      <w:r w:rsidR="005D2B7B" w:rsidRPr="00B37972">
        <w:rPr>
          <w:rFonts w:ascii="Verdana" w:hAnsi="Verdana" w:cstheme="minorHAnsi"/>
          <w:sz w:val="20"/>
          <w:szCs w:val="24"/>
        </w:rPr>
        <w:t xml:space="preserve">examined </w:t>
      </w:r>
      <w:r w:rsidR="00110804" w:rsidRPr="00B37972">
        <w:rPr>
          <w:rFonts w:ascii="Verdana" w:hAnsi="Verdana" w:cstheme="minorHAnsi"/>
          <w:sz w:val="20"/>
          <w:szCs w:val="24"/>
        </w:rPr>
        <w:t xml:space="preserve">under </w:t>
      </w:r>
      <w:r w:rsidRPr="00B37972">
        <w:rPr>
          <w:rFonts w:ascii="Verdana" w:hAnsi="Verdana" w:cstheme="minorHAnsi"/>
          <w:sz w:val="20"/>
          <w:szCs w:val="24"/>
        </w:rPr>
        <w:t xml:space="preserve">its </w:t>
      </w:r>
      <w:r w:rsidR="00110804" w:rsidRPr="00B37972">
        <w:rPr>
          <w:rFonts w:ascii="Verdana" w:hAnsi="Verdana" w:cstheme="minorHAnsi"/>
          <w:sz w:val="20"/>
          <w:szCs w:val="24"/>
        </w:rPr>
        <w:t>Fourth Evaluation Round</w:t>
      </w:r>
      <w:r w:rsidR="005D2B7B" w:rsidRPr="00B37972">
        <w:rPr>
          <w:rFonts w:ascii="Verdana" w:hAnsi="Verdana" w:cstheme="minorHAnsi"/>
          <w:sz w:val="20"/>
          <w:szCs w:val="24"/>
        </w:rPr>
        <w:t>,</w:t>
      </w:r>
      <w:r w:rsidR="00110804" w:rsidRPr="00B37972">
        <w:rPr>
          <w:rFonts w:ascii="Verdana" w:hAnsi="Verdana" w:cstheme="minorHAnsi"/>
          <w:sz w:val="20"/>
          <w:szCs w:val="24"/>
        </w:rPr>
        <w:t xml:space="preserve"> </w:t>
      </w:r>
      <w:r w:rsidR="00110804" w:rsidRPr="005456CD">
        <w:rPr>
          <w:rFonts w:ascii="Verdana" w:hAnsi="Verdana" w:cstheme="minorHAnsi"/>
          <w:sz w:val="20"/>
          <w:szCs w:val="24"/>
          <w:u w:val="single"/>
        </w:rPr>
        <w:t xml:space="preserve">GRECO decides to </w:t>
      </w:r>
      <w:r w:rsidR="00AB37E8" w:rsidRPr="005456CD">
        <w:rPr>
          <w:rFonts w:ascii="Verdana" w:hAnsi="Verdana" w:cstheme="minorHAnsi"/>
          <w:sz w:val="20"/>
          <w:szCs w:val="24"/>
          <w:u w:val="single"/>
        </w:rPr>
        <w:t xml:space="preserve">terminate the current </w:t>
      </w:r>
      <w:r w:rsidRPr="005456CD">
        <w:rPr>
          <w:rFonts w:ascii="Verdana" w:hAnsi="Verdana" w:cstheme="minorHAnsi"/>
          <w:sz w:val="20"/>
          <w:szCs w:val="24"/>
          <w:u w:val="single"/>
        </w:rPr>
        <w:t>a</w:t>
      </w:r>
      <w:r w:rsidR="00AB37E8" w:rsidRPr="005456CD">
        <w:rPr>
          <w:rFonts w:ascii="Verdana" w:hAnsi="Verdana" w:cstheme="minorHAnsi"/>
          <w:sz w:val="20"/>
          <w:szCs w:val="24"/>
          <w:u w:val="single"/>
        </w:rPr>
        <w:t xml:space="preserve">d hoc procedure and to </w:t>
      </w:r>
      <w:r w:rsidR="00110804" w:rsidRPr="005456CD">
        <w:rPr>
          <w:rFonts w:ascii="Verdana" w:hAnsi="Verdana" w:cstheme="minorHAnsi"/>
          <w:sz w:val="20"/>
          <w:szCs w:val="24"/>
          <w:u w:val="single"/>
        </w:rPr>
        <w:t xml:space="preserve">continue </w:t>
      </w:r>
      <w:r w:rsidR="005D2B7B" w:rsidRPr="005456CD">
        <w:rPr>
          <w:rFonts w:ascii="Verdana" w:hAnsi="Verdana" w:cstheme="minorHAnsi"/>
          <w:sz w:val="20"/>
          <w:szCs w:val="24"/>
          <w:u w:val="single"/>
        </w:rPr>
        <w:t xml:space="preserve">evaluating Romania’s </w:t>
      </w:r>
      <w:r w:rsidR="00110804" w:rsidRPr="005456CD">
        <w:rPr>
          <w:rFonts w:ascii="Verdana" w:hAnsi="Verdana" w:cstheme="minorHAnsi"/>
          <w:sz w:val="20"/>
          <w:szCs w:val="24"/>
          <w:u w:val="single"/>
        </w:rPr>
        <w:t xml:space="preserve">compliance with </w:t>
      </w:r>
      <w:r w:rsidR="00C408D6" w:rsidRPr="005456CD">
        <w:rPr>
          <w:rFonts w:ascii="Verdana" w:hAnsi="Verdana" w:cstheme="minorHAnsi"/>
          <w:sz w:val="20"/>
          <w:szCs w:val="24"/>
          <w:u w:val="single"/>
        </w:rPr>
        <w:t xml:space="preserve">the pending </w:t>
      </w:r>
      <w:r w:rsidR="00110804" w:rsidRPr="005456CD">
        <w:rPr>
          <w:rFonts w:ascii="Verdana" w:hAnsi="Verdana" w:cstheme="minorHAnsi"/>
          <w:sz w:val="20"/>
          <w:szCs w:val="24"/>
          <w:u w:val="single"/>
        </w:rPr>
        <w:t xml:space="preserve">recommendations </w:t>
      </w:r>
      <w:r w:rsidR="00B8519F" w:rsidRPr="005456CD">
        <w:rPr>
          <w:rFonts w:ascii="Verdana" w:hAnsi="Verdana" w:cstheme="minorHAnsi"/>
          <w:sz w:val="20"/>
          <w:szCs w:val="24"/>
          <w:u w:val="single"/>
        </w:rPr>
        <w:t xml:space="preserve">contained in the </w:t>
      </w:r>
      <w:r w:rsidR="0040173A">
        <w:rPr>
          <w:rFonts w:ascii="Verdana" w:hAnsi="Verdana" w:cstheme="minorHAnsi"/>
          <w:sz w:val="20"/>
          <w:szCs w:val="24"/>
          <w:u w:val="single"/>
        </w:rPr>
        <w:t xml:space="preserve">Ad hoc </w:t>
      </w:r>
      <w:r w:rsidR="00B8519F" w:rsidRPr="005456CD">
        <w:rPr>
          <w:rFonts w:ascii="Verdana" w:hAnsi="Verdana" w:cstheme="minorHAnsi"/>
          <w:sz w:val="20"/>
          <w:szCs w:val="24"/>
          <w:u w:val="single"/>
        </w:rPr>
        <w:t xml:space="preserve">Report </w:t>
      </w:r>
      <w:r w:rsidR="00110804" w:rsidRPr="005456CD">
        <w:rPr>
          <w:rFonts w:ascii="Verdana" w:hAnsi="Verdana" w:cstheme="minorHAnsi"/>
          <w:sz w:val="20"/>
          <w:szCs w:val="24"/>
          <w:u w:val="single"/>
        </w:rPr>
        <w:t xml:space="preserve">under the on-going Compliance Procedure </w:t>
      </w:r>
      <w:r w:rsidR="00C408D6" w:rsidRPr="005456CD">
        <w:rPr>
          <w:rFonts w:ascii="Verdana" w:hAnsi="Verdana" w:cstheme="minorHAnsi"/>
          <w:sz w:val="20"/>
          <w:szCs w:val="24"/>
          <w:u w:val="single"/>
        </w:rPr>
        <w:t xml:space="preserve">of </w:t>
      </w:r>
      <w:r w:rsidR="001D0B20" w:rsidRPr="005456CD">
        <w:rPr>
          <w:rFonts w:ascii="Verdana" w:hAnsi="Verdana" w:cstheme="minorHAnsi"/>
          <w:sz w:val="20"/>
          <w:szCs w:val="24"/>
          <w:u w:val="single"/>
        </w:rPr>
        <w:t>its</w:t>
      </w:r>
      <w:r w:rsidR="00110804" w:rsidRPr="005456CD">
        <w:rPr>
          <w:rFonts w:ascii="Verdana" w:hAnsi="Verdana" w:cstheme="minorHAnsi"/>
          <w:sz w:val="20"/>
          <w:szCs w:val="24"/>
          <w:u w:val="single"/>
        </w:rPr>
        <w:t xml:space="preserve"> Fourth Evaluati</w:t>
      </w:r>
      <w:r w:rsidR="005D2B7B" w:rsidRPr="005456CD">
        <w:rPr>
          <w:rFonts w:ascii="Verdana" w:hAnsi="Verdana" w:cstheme="minorHAnsi"/>
          <w:sz w:val="20"/>
          <w:szCs w:val="24"/>
          <w:u w:val="single"/>
        </w:rPr>
        <w:t>on Round</w:t>
      </w:r>
      <w:r w:rsidR="005D2B7B" w:rsidRPr="00B37972">
        <w:rPr>
          <w:rFonts w:ascii="Verdana" w:hAnsi="Verdana" w:cstheme="minorHAnsi"/>
          <w:sz w:val="20"/>
          <w:szCs w:val="24"/>
        </w:rPr>
        <w:t xml:space="preserve"> in respect of Romania.</w:t>
      </w:r>
      <w:r w:rsidR="00C408D6" w:rsidRPr="00B37972">
        <w:rPr>
          <w:rFonts w:ascii="Verdana" w:hAnsi="Verdana" w:cstheme="minorHAnsi"/>
          <w:sz w:val="20"/>
          <w:szCs w:val="24"/>
        </w:rPr>
        <w:t xml:space="preserve"> </w:t>
      </w:r>
      <w:r w:rsidRPr="00B37972">
        <w:rPr>
          <w:rFonts w:ascii="Verdana" w:hAnsi="Verdana" w:cstheme="minorHAnsi"/>
          <w:sz w:val="20"/>
          <w:szCs w:val="24"/>
        </w:rPr>
        <w:t xml:space="preserve">Consequently, </w:t>
      </w:r>
      <w:r w:rsidR="00C408D6" w:rsidRPr="00B37972">
        <w:rPr>
          <w:rFonts w:ascii="Verdana" w:hAnsi="Verdana" w:cstheme="minorHAnsi"/>
          <w:sz w:val="20"/>
          <w:szCs w:val="24"/>
        </w:rPr>
        <w:t>GRECO invites the Head of Delegation of Romania to submit additional information concerning recommendations i</w:t>
      </w:r>
      <w:r w:rsidR="004955B2">
        <w:rPr>
          <w:rFonts w:ascii="Verdana" w:hAnsi="Verdana" w:cstheme="minorHAnsi"/>
          <w:sz w:val="20"/>
          <w:szCs w:val="24"/>
        </w:rPr>
        <w:t xml:space="preserve">, ii, </w:t>
      </w:r>
      <w:r w:rsidR="00C408D6" w:rsidRPr="00B37972">
        <w:rPr>
          <w:rFonts w:ascii="Verdana" w:hAnsi="Verdana" w:cstheme="minorHAnsi"/>
          <w:sz w:val="20"/>
          <w:szCs w:val="24"/>
        </w:rPr>
        <w:t xml:space="preserve">iii and v by </w:t>
      </w:r>
      <w:r w:rsidR="00C74684" w:rsidRPr="00B37972">
        <w:rPr>
          <w:rFonts w:ascii="Verdana" w:hAnsi="Verdana" w:cstheme="minorHAnsi"/>
          <w:sz w:val="20"/>
          <w:szCs w:val="24"/>
          <w:u w:val="single"/>
        </w:rPr>
        <w:t>30</w:t>
      </w:r>
      <w:r w:rsidR="00C408D6" w:rsidRPr="00B37972">
        <w:rPr>
          <w:rFonts w:ascii="Verdana" w:hAnsi="Verdana" w:cstheme="minorHAnsi"/>
          <w:sz w:val="20"/>
          <w:szCs w:val="24"/>
          <w:u w:val="single"/>
        </w:rPr>
        <w:t xml:space="preserve"> June 2020</w:t>
      </w:r>
      <w:r w:rsidRPr="00B37972">
        <w:rPr>
          <w:rFonts w:ascii="Verdana" w:hAnsi="Verdana" w:cstheme="minorHAnsi"/>
          <w:sz w:val="20"/>
          <w:szCs w:val="24"/>
        </w:rPr>
        <w:t>, together with its next situation report under the Fourth Evaluation Round</w:t>
      </w:r>
      <w:r w:rsidR="00C408D6" w:rsidRPr="00B37972">
        <w:rPr>
          <w:rFonts w:ascii="Verdana" w:hAnsi="Verdana" w:cstheme="minorHAnsi"/>
          <w:sz w:val="20"/>
          <w:szCs w:val="24"/>
        </w:rPr>
        <w:t>.</w:t>
      </w:r>
    </w:p>
    <w:p w:rsidR="00110804" w:rsidRPr="00B37972" w:rsidRDefault="00110804" w:rsidP="00B37972">
      <w:pPr>
        <w:pStyle w:val="Listparagraf"/>
        <w:tabs>
          <w:tab w:val="left" w:pos="567"/>
        </w:tabs>
        <w:suppressAutoHyphens w:val="0"/>
        <w:spacing w:after="0" w:line="240" w:lineRule="auto"/>
        <w:ind w:left="0"/>
        <w:jc w:val="both"/>
        <w:rPr>
          <w:rFonts w:ascii="Verdana" w:hAnsi="Verdana" w:cstheme="minorHAnsi"/>
          <w:sz w:val="20"/>
          <w:szCs w:val="24"/>
        </w:rPr>
      </w:pPr>
    </w:p>
    <w:p w:rsidR="00A57905" w:rsidRPr="00B37972" w:rsidRDefault="00110804" w:rsidP="00B37972">
      <w:pPr>
        <w:pStyle w:val="Listparagraf"/>
        <w:numPr>
          <w:ilvl w:val="0"/>
          <w:numId w:val="5"/>
        </w:numPr>
        <w:tabs>
          <w:tab w:val="left" w:pos="567"/>
        </w:tabs>
        <w:suppressAutoHyphens w:val="0"/>
        <w:spacing w:after="0" w:line="240" w:lineRule="auto"/>
        <w:ind w:left="0" w:firstLine="0"/>
        <w:jc w:val="both"/>
        <w:rPr>
          <w:rFonts w:ascii="Verdana" w:hAnsi="Verdana" w:cstheme="minorHAnsi"/>
          <w:sz w:val="20"/>
          <w:szCs w:val="24"/>
        </w:rPr>
      </w:pPr>
      <w:r w:rsidRPr="00B37972">
        <w:rPr>
          <w:rFonts w:ascii="Verdana" w:hAnsi="Verdana" w:cstheme="minorHAnsi"/>
          <w:sz w:val="20"/>
          <w:szCs w:val="24"/>
        </w:rPr>
        <w:t xml:space="preserve">Finally, </w:t>
      </w:r>
      <w:r w:rsidR="00A57905" w:rsidRPr="00B37972">
        <w:rPr>
          <w:rFonts w:ascii="Verdana" w:hAnsi="Verdana" w:cstheme="minorHAnsi"/>
          <w:sz w:val="20"/>
          <w:szCs w:val="24"/>
        </w:rPr>
        <w:t>GRECO invites</w:t>
      </w:r>
      <w:r w:rsidR="00A57905" w:rsidRPr="00B37972">
        <w:rPr>
          <w:rFonts w:ascii="Verdana" w:hAnsi="Verdana"/>
          <w:sz w:val="20"/>
          <w:szCs w:val="24"/>
        </w:rPr>
        <w:t xml:space="preserve"> the authorities of </w:t>
      </w:r>
      <w:r w:rsidR="00A57905" w:rsidRPr="00B37972">
        <w:rPr>
          <w:rFonts w:ascii="Verdana" w:hAnsi="Verdana"/>
          <w:color w:val="000000"/>
          <w:sz w:val="20"/>
          <w:szCs w:val="24"/>
        </w:rPr>
        <w:t xml:space="preserve">Romania </w:t>
      </w:r>
      <w:r w:rsidR="00A57905" w:rsidRPr="00B37972">
        <w:rPr>
          <w:rFonts w:ascii="Verdana" w:hAnsi="Verdana"/>
          <w:sz w:val="20"/>
          <w:szCs w:val="24"/>
        </w:rPr>
        <w:t>to authorise, at their earliest convenience, the publication of this report, to translate it into the national language and to make the translation publicly available.</w:t>
      </w:r>
    </w:p>
    <w:sectPr w:rsidR="00A57905" w:rsidRPr="00B37972" w:rsidSect="008A1E13">
      <w:footerReference w:type="default" r:id="rId9"/>
      <w:footerReference w:type="first" r:id="rId10"/>
      <w:pgSz w:w="11907" w:h="16839" w:code="9"/>
      <w:pgMar w:top="1276" w:right="1275" w:bottom="1418" w:left="1418" w:header="720" w:footer="720" w:gutter="0"/>
      <w:cols w:space="720"/>
      <w:titlePg/>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568" w:rsidRDefault="00387568">
      <w:pPr>
        <w:spacing w:after="0" w:line="240" w:lineRule="auto"/>
      </w:pPr>
      <w:r>
        <w:separator/>
      </w:r>
    </w:p>
  </w:endnote>
  <w:endnote w:type="continuationSeparator" w:id="0">
    <w:p w:rsidR="00387568" w:rsidRDefault="0038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nt312">
    <w:altName w:val="MS Gothic"/>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0694749"/>
      <w:docPartObj>
        <w:docPartGallery w:val="Page Numbers (Bottom of Page)"/>
        <w:docPartUnique/>
      </w:docPartObj>
    </w:sdtPr>
    <w:sdtEndPr>
      <w:rPr>
        <w:rFonts w:ascii="Verdana" w:hAnsi="Verdana"/>
        <w:noProof/>
        <w:sz w:val="20"/>
        <w:szCs w:val="20"/>
      </w:rPr>
    </w:sdtEndPr>
    <w:sdtContent>
      <w:p w:rsidR="004940D6" w:rsidRPr="005049E6" w:rsidRDefault="004940D6">
        <w:pPr>
          <w:pStyle w:val="Subsol"/>
          <w:jc w:val="center"/>
          <w:rPr>
            <w:rFonts w:ascii="Verdana" w:hAnsi="Verdana"/>
            <w:sz w:val="20"/>
            <w:szCs w:val="20"/>
          </w:rPr>
        </w:pPr>
        <w:r w:rsidRPr="005049E6">
          <w:rPr>
            <w:rFonts w:ascii="Verdana" w:hAnsi="Verdana"/>
            <w:sz w:val="20"/>
            <w:szCs w:val="20"/>
          </w:rPr>
          <w:fldChar w:fldCharType="begin"/>
        </w:r>
        <w:r w:rsidRPr="005049E6">
          <w:rPr>
            <w:rFonts w:ascii="Verdana" w:hAnsi="Verdana"/>
            <w:sz w:val="20"/>
            <w:szCs w:val="20"/>
          </w:rPr>
          <w:instrText xml:space="preserve"> PAGE   \* MERGEFORMAT </w:instrText>
        </w:r>
        <w:r w:rsidRPr="005049E6">
          <w:rPr>
            <w:rFonts w:ascii="Verdana" w:hAnsi="Verdana"/>
            <w:sz w:val="20"/>
            <w:szCs w:val="20"/>
          </w:rPr>
          <w:fldChar w:fldCharType="separate"/>
        </w:r>
        <w:r w:rsidR="001209B2">
          <w:rPr>
            <w:rFonts w:ascii="Verdana" w:hAnsi="Verdana"/>
            <w:noProof/>
            <w:sz w:val="20"/>
            <w:szCs w:val="20"/>
          </w:rPr>
          <w:t>2</w:t>
        </w:r>
        <w:r w:rsidRPr="005049E6">
          <w:rPr>
            <w:rFonts w:ascii="Verdana" w:hAnsi="Verdana"/>
            <w:noProof/>
            <w:sz w:val="20"/>
            <w:szCs w:val="20"/>
          </w:rPr>
          <w:fldChar w:fldCharType="end"/>
        </w:r>
      </w:p>
    </w:sdtContent>
  </w:sdt>
  <w:p w:rsidR="004940D6" w:rsidRDefault="004940D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000" w:firstRow="0" w:lastRow="0" w:firstColumn="0" w:lastColumn="0" w:noHBand="0" w:noVBand="0"/>
    </w:tblPr>
    <w:tblGrid>
      <w:gridCol w:w="3062"/>
      <w:gridCol w:w="3099"/>
      <w:gridCol w:w="3053"/>
    </w:tblGrid>
    <w:tr w:rsidR="004940D6" w:rsidRPr="00967CDF" w:rsidTr="002B3E4F">
      <w:tc>
        <w:tcPr>
          <w:tcW w:w="3082" w:type="dxa"/>
          <w:vAlign w:val="center"/>
        </w:tcPr>
        <w:p w:rsidR="004940D6" w:rsidRPr="0015115C" w:rsidRDefault="004940D6" w:rsidP="002B3E4F">
          <w:pPr>
            <w:pStyle w:val="Subsol"/>
            <w:rPr>
              <w:rFonts w:cstheme="minorHAnsi"/>
              <w:sz w:val="16"/>
              <w:szCs w:val="16"/>
            </w:rPr>
          </w:pPr>
          <w:r w:rsidRPr="0015115C">
            <w:rPr>
              <w:rFonts w:cstheme="minorHAnsi"/>
              <w:sz w:val="16"/>
              <w:szCs w:val="16"/>
            </w:rPr>
            <w:t>GRECO Secretariat</w:t>
          </w:r>
        </w:p>
        <w:p w:rsidR="004940D6" w:rsidRPr="0015115C" w:rsidRDefault="004940D6" w:rsidP="002B3E4F">
          <w:pPr>
            <w:pStyle w:val="Subsol"/>
            <w:rPr>
              <w:rFonts w:cstheme="minorHAnsi"/>
              <w:sz w:val="16"/>
              <w:szCs w:val="16"/>
            </w:rPr>
          </w:pPr>
          <w:r w:rsidRPr="0015115C">
            <w:rPr>
              <w:rFonts w:cstheme="minorHAnsi"/>
              <w:sz w:val="16"/>
              <w:szCs w:val="16"/>
            </w:rPr>
            <w:t>Council of Europe</w:t>
          </w:r>
        </w:p>
        <w:p w:rsidR="004940D6" w:rsidRPr="0015115C" w:rsidRDefault="00E76DF5" w:rsidP="002B3E4F">
          <w:pPr>
            <w:pStyle w:val="Subsol"/>
            <w:rPr>
              <w:rFonts w:cstheme="minorHAnsi"/>
              <w:sz w:val="16"/>
              <w:szCs w:val="16"/>
            </w:rPr>
          </w:pPr>
          <w:hyperlink r:id="rId1" w:history="1">
            <w:r w:rsidR="004940D6" w:rsidRPr="0015115C">
              <w:rPr>
                <w:rStyle w:val="Hyperlink"/>
                <w:rFonts w:cstheme="minorHAnsi"/>
                <w:sz w:val="16"/>
                <w:szCs w:val="16"/>
              </w:rPr>
              <w:t>www.coe.int/greco</w:t>
            </w:r>
          </w:hyperlink>
          <w:r w:rsidR="004940D6" w:rsidRPr="0015115C">
            <w:rPr>
              <w:rFonts w:cstheme="minorHAnsi"/>
              <w:color w:val="0000FF"/>
              <w:sz w:val="16"/>
              <w:szCs w:val="16"/>
            </w:rPr>
            <w:t xml:space="preserve"> </w:t>
          </w:r>
        </w:p>
      </w:tc>
      <w:tc>
        <w:tcPr>
          <w:tcW w:w="3126" w:type="dxa"/>
          <w:vAlign w:val="center"/>
        </w:tcPr>
        <w:p w:rsidR="004940D6" w:rsidRPr="0015115C" w:rsidRDefault="004940D6" w:rsidP="002B3E4F">
          <w:pPr>
            <w:pStyle w:val="Subsol"/>
            <w:ind w:firstLine="39"/>
            <w:jc w:val="center"/>
            <w:rPr>
              <w:rFonts w:cstheme="minorHAnsi"/>
              <w:sz w:val="16"/>
              <w:szCs w:val="16"/>
            </w:rPr>
          </w:pPr>
          <w:r w:rsidRPr="0015115C">
            <w:rPr>
              <w:rFonts w:cstheme="minorHAnsi"/>
              <w:sz w:val="16"/>
              <w:szCs w:val="16"/>
            </w:rPr>
            <w:t>F-67075 Strasbourg Cedex</w:t>
          </w:r>
        </w:p>
        <w:p w:rsidR="004940D6" w:rsidRPr="0015115C" w:rsidRDefault="004940D6" w:rsidP="002B3E4F">
          <w:pPr>
            <w:pStyle w:val="Subsol"/>
            <w:ind w:firstLine="39"/>
            <w:jc w:val="center"/>
            <w:rPr>
              <w:rFonts w:cstheme="minorHAnsi"/>
              <w:sz w:val="16"/>
              <w:szCs w:val="16"/>
            </w:rPr>
          </w:pPr>
          <w:r w:rsidRPr="0015115C">
            <w:rPr>
              <w:rFonts w:cstheme="minorHAnsi"/>
              <w:sz w:val="16"/>
              <w:szCs w:val="16"/>
            </w:rPr>
            <w:sym w:font="Wingdings" w:char="F028"/>
          </w:r>
          <w:r w:rsidRPr="0015115C">
            <w:rPr>
              <w:rFonts w:cstheme="minorHAnsi"/>
              <w:sz w:val="16"/>
              <w:szCs w:val="16"/>
            </w:rPr>
            <w:t xml:space="preserve"> +33 3 88 41 20 00</w:t>
          </w:r>
        </w:p>
        <w:p w:rsidR="004940D6" w:rsidRPr="0015115C" w:rsidRDefault="004940D6" w:rsidP="002B3E4F">
          <w:pPr>
            <w:pStyle w:val="Subsol"/>
            <w:ind w:firstLine="39"/>
            <w:jc w:val="center"/>
            <w:rPr>
              <w:rFonts w:cstheme="minorHAnsi"/>
              <w:color w:val="0000FF"/>
              <w:sz w:val="16"/>
              <w:szCs w:val="16"/>
            </w:rPr>
          </w:pPr>
          <w:r w:rsidRPr="0015115C">
            <w:rPr>
              <w:rFonts w:cstheme="minorHAnsi"/>
              <w:sz w:val="16"/>
              <w:szCs w:val="16"/>
            </w:rPr>
            <w:t xml:space="preserve">Fax +33 3 88 41 </w:t>
          </w:r>
          <w:r>
            <w:rPr>
              <w:rFonts w:cstheme="minorHAnsi"/>
              <w:sz w:val="16"/>
              <w:szCs w:val="16"/>
            </w:rPr>
            <w:t>39 55</w:t>
          </w:r>
        </w:p>
      </w:tc>
      <w:tc>
        <w:tcPr>
          <w:tcW w:w="3079" w:type="dxa"/>
          <w:vAlign w:val="center"/>
        </w:tcPr>
        <w:p w:rsidR="004940D6" w:rsidRPr="0015115C" w:rsidRDefault="004940D6" w:rsidP="002B3E4F">
          <w:pPr>
            <w:pStyle w:val="Subsol"/>
            <w:jc w:val="right"/>
            <w:rPr>
              <w:rFonts w:cstheme="minorHAnsi"/>
              <w:sz w:val="16"/>
              <w:szCs w:val="16"/>
            </w:rPr>
          </w:pPr>
          <w:r w:rsidRPr="0015115C">
            <w:rPr>
              <w:rFonts w:cstheme="minorHAnsi"/>
              <w:sz w:val="16"/>
              <w:szCs w:val="16"/>
            </w:rPr>
            <w:t xml:space="preserve">Directorate General I </w:t>
          </w:r>
        </w:p>
        <w:p w:rsidR="004940D6" w:rsidRPr="0015115C" w:rsidRDefault="004940D6" w:rsidP="002B3E4F">
          <w:pPr>
            <w:pStyle w:val="Subsol"/>
            <w:jc w:val="right"/>
            <w:rPr>
              <w:rFonts w:cstheme="minorHAnsi"/>
              <w:sz w:val="16"/>
              <w:szCs w:val="16"/>
            </w:rPr>
          </w:pPr>
          <w:r w:rsidRPr="0015115C">
            <w:rPr>
              <w:rFonts w:cstheme="minorHAnsi"/>
              <w:sz w:val="16"/>
              <w:szCs w:val="16"/>
            </w:rPr>
            <w:t>Human Rights and Rule of Law</w:t>
          </w:r>
        </w:p>
        <w:p w:rsidR="004940D6" w:rsidRPr="0015115C" w:rsidRDefault="004940D6" w:rsidP="002B3E4F">
          <w:pPr>
            <w:pStyle w:val="Subsol"/>
            <w:jc w:val="right"/>
            <w:rPr>
              <w:rFonts w:cstheme="minorHAnsi"/>
              <w:sz w:val="16"/>
              <w:szCs w:val="16"/>
            </w:rPr>
          </w:pPr>
          <w:r w:rsidRPr="0015115C">
            <w:rPr>
              <w:rFonts w:cstheme="minorHAnsi"/>
              <w:sz w:val="16"/>
              <w:szCs w:val="16"/>
            </w:rPr>
            <w:t>Information Society and Action against Crime Directorate</w:t>
          </w:r>
        </w:p>
      </w:tc>
    </w:tr>
  </w:tbl>
  <w:p w:rsidR="004940D6" w:rsidRPr="00900EDB" w:rsidRDefault="004940D6">
    <w:pPr>
      <w:pStyle w:val="Subso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568" w:rsidRDefault="00387568">
      <w:pPr>
        <w:spacing w:after="0" w:line="240" w:lineRule="auto"/>
      </w:pPr>
      <w:r>
        <w:separator/>
      </w:r>
    </w:p>
  </w:footnote>
  <w:footnote w:type="continuationSeparator" w:id="0">
    <w:p w:rsidR="00387568" w:rsidRDefault="00387568">
      <w:pPr>
        <w:spacing w:after="0" w:line="240" w:lineRule="auto"/>
      </w:pPr>
      <w:r>
        <w:continuationSeparator/>
      </w:r>
    </w:p>
  </w:footnote>
  <w:footnote w:id="1">
    <w:p w:rsidR="004940D6" w:rsidRPr="00B4457B" w:rsidRDefault="004940D6" w:rsidP="00B37972">
      <w:pPr>
        <w:spacing w:after="0" w:line="240" w:lineRule="auto"/>
        <w:jc w:val="both"/>
        <w:rPr>
          <w:rFonts w:ascii="Verdana" w:hAnsi="Verdana"/>
          <w:sz w:val="16"/>
          <w:szCs w:val="16"/>
        </w:rPr>
      </w:pPr>
      <w:r w:rsidRPr="00B4457B">
        <w:rPr>
          <w:rStyle w:val="Referinnotdesubsol"/>
          <w:rFonts w:ascii="Verdana" w:hAnsi="Verdana"/>
          <w:sz w:val="16"/>
          <w:szCs w:val="16"/>
        </w:rPr>
        <w:footnoteRef/>
      </w:r>
      <w:r w:rsidRPr="00B4457B">
        <w:rPr>
          <w:rFonts w:ascii="Verdana" w:hAnsi="Verdana"/>
          <w:sz w:val="16"/>
          <w:szCs w:val="16"/>
        </w:rPr>
        <w:t xml:space="preserve"> See paragraph 91 of the Fourth Evaluation Round Compliance Report, accessible via the following link: </w:t>
      </w:r>
      <w:hyperlink r:id="rId1" w:history="1">
        <w:r w:rsidRPr="00B4457B">
          <w:rPr>
            <w:rStyle w:val="Hyperlink"/>
            <w:rFonts w:ascii="Verdana" w:hAnsi="Verdana"/>
            <w:sz w:val="16"/>
            <w:szCs w:val="16"/>
          </w:rPr>
          <w:t>https://www.coe.int/en/web/greco/-/romania-publication-today-of-the-fourth-round-compliance-report</w:t>
        </w:r>
      </w:hyperlink>
      <w:r w:rsidRPr="00B4457B">
        <w:rPr>
          <w:rFonts w:ascii="Verdana" w:hAnsi="Verdana"/>
          <w:sz w:val="16"/>
          <w:szCs w:val="16"/>
        </w:rPr>
        <w:t xml:space="preserve"> </w:t>
      </w:r>
    </w:p>
  </w:footnote>
  <w:footnote w:id="2">
    <w:p w:rsidR="004940D6" w:rsidRPr="00B4457B" w:rsidRDefault="004940D6" w:rsidP="00B37972">
      <w:pPr>
        <w:spacing w:after="0" w:line="240" w:lineRule="auto"/>
        <w:jc w:val="both"/>
        <w:rPr>
          <w:rFonts w:ascii="Verdana" w:hAnsi="Verdana"/>
          <w:sz w:val="16"/>
          <w:szCs w:val="16"/>
        </w:rPr>
      </w:pPr>
      <w:r w:rsidRPr="00B4457B">
        <w:rPr>
          <w:rStyle w:val="Referinnotdesubsol"/>
          <w:rFonts w:ascii="Verdana" w:hAnsi="Verdana"/>
          <w:sz w:val="16"/>
          <w:szCs w:val="16"/>
        </w:rPr>
        <w:footnoteRef/>
      </w:r>
      <w:r w:rsidRPr="00B4457B">
        <w:rPr>
          <w:rFonts w:ascii="Verdana" w:hAnsi="Verdana"/>
          <w:sz w:val="16"/>
          <w:szCs w:val="16"/>
        </w:rPr>
        <w:t xml:space="preserve"> The GET met with the then Minister of Justice and other officials of this ministry, members of Parliament, the Office of the President, the Superior Council of Magistracy, and the Prosecutors Office, as well as civil society and professional organisations (NGOs, associations of judges and prosecutors), and representatives of international institutions (European Commission) and diplomatic representations of several countries in Romania.</w:t>
      </w:r>
    </w:p>
  </w:footnote>
  <w:footnote w:id="3">
    <w:p w:rsidR="00B37972" w:rsidRPr="00B4457B" w:rsidRDefault="00B824C3" w:rsidP="00B37972">
      <w:pPr>
        <w:pStyle w:val="Textnotdesubsol"/>
        <w:spacing w:after="0" w:line="240" w:lineRule="auto"/>
        <w:ind w:left="0" w:firstLine="0"/>
        <w:jc w:val="both"/>
        <w:rPr>
          <w:rFonts w:ascii="Verdana" w:hAnsi="Verdana"/>
          <w:sz w:val="16"/>
          <w:szCs w:val="16"/>
        </w:rPr>
      </w:pPr>
      <w:r w:rsidRPr="00B4457B">
        <w:rPr>
          <w:rStyle w:val="Referinnotdesubsol"/>
          <w:rFonts w:ascii="Verdana" w:hAnsi="Verdana"/>
          <w:sz w:val="16"/>
          <w:szCs w:val="16"/>
        </w:rPr>
        <w:footnoteRef/>
      </w:r>
      <w:r w:rsidRPr="00B4457B">
        <w:rPr>
          <w:rFonts w:ascii="Verdana" w:hAnsi="Verdana"/>
          <w:sz w:val="16"/>
          <w:szCs w:val="16"/>
        </w:rPr>
        <w:t xml:space="preserve"> The Opinion of the European Commission for Democracy through Law on amendments to the Criminal Code and the Criminal Procedure Code CLD-AD(2018)21, accessible via the following link: </w:t>
      </w:r>
    </w:p>
    <w:p w:rsidR="00763C94" w:rsidRPr="00B4457B" w:rsidRDefault="00E76DF5" w:rsidP="00B37972">
      <w:pPr>
        <w:pStyle w:val="Textnotdesubsol"/>
        <w:spacing w:after="0" w:line="240" w:lineRule="auto"/>
        <w:ind w:left="0" w:firstLine="0"/>
        <w:jc w:val="both"/>
        <w:rPr>
          <w:rFonts w:ascii="Verdana" w:hAnsi="Verdana"/>
          <w:sz w:val="16"/>
          <w:szCs w:val="16"/>
          <w:u w:val="words"/>
        </w:rPr>
      </w:pPr>
      <w:hyperlink r:id="rId2" w:history="1">
        <w:r w:rsidR="0090193A" w:rsidRPr="00B4457B">
          <w:rPr>
            <w:rStyle w:val="Hyperlink"/>
            <w:rFonts w:ascii="Verdana" w:hAnsi="Verdana"/>
            <w:sz w:val="16"/>
            <w:szCs w:val="16"/>
          </w:rPr>
          <w:t>https://www.venice.coe.int/webforms/documents/?pdf=CDL-AD(2018)021-e</w:t>
        </w:r>
      </w:hyperlink>
      <w:r w:rsidR="0090193A" w:rsidRPr="00B4457B">
        <w:rPr>
          <w:rFonts w:ascii="Verdana" w:hAnsi="Verdana"/>
          <w:sz w:val="16"/>
          <w:szCs w:val="16"/>
        </w:rPr>
        <w:t xml:space="preserve"> </w:t>
      </w:r>
    </w:p>
  </w:footnote>
  <w:footnote w:id="4">
    <w:p w:rsidR="00696190" w:rsidRPr="00B4457B" w:rsidRDefault="00763C94" w:rsidP="00B37972">
      <w:pPr>
        <w:pStyle w:val="Textnotdesubsol"/>
        <w:spacing w:after="0" w:line="240" w:lineRule="auto"/>
        <w:ind w:left="0" w:firstLine="0"/>
        <w:jc w:val="both"/>
        <w:rPr>
          <w:rFonts w:ascii="Verdana" w:hAnsi="Verdana"/>
          <w:bCs/>
          <w:sz w:val="16"/>
          <w:szCs w:val="16"/>
          <w:u w:val="single"/>
        </w:rPr>
      </w:pPr>
      <w:r w:rsidRPr="00B4457B">
        <w:rPr>
          <w:rStyle w:val="Referinnotdesubsol"/>
          <w:rFonts w:ascii="Verdana" w:hAnsi="Verdana"/>
          <w:sz w:val="16"/>
          <w:szCs w:val="16"/>
        </w:rPr>
        <w:footnoteRef/>
      </w:r>
      <w:r w:rsidRPr="00B4457B">
        <w:rPr>
          <w:rFonts w:ascii="Verdana" w:hAnsi="Verdana"/>
          <w:sz w:val="16"/>
          <w:szCs w:val="16"/>
        </w:rPr>
        <w:t xml:space="preserve"> As the </w:t>
      </w:r>
      <w:r w:rsidR="00696190" w:rsidRPr="00B4457B">
        <w:rPr>
          <w:rFonts w:ascii="Verdana" w:hAnsi="Verdana"/>
          <w:bCs/>
          <w:sz w:val="16"/>
          <w:szCs w:val="16"/>
        </w:rPr>
        <w:t xml:space="preserve">results </w:t>
      </w:r>
      <w:r w:rsidRPr="00B4457B">
        <w:rPr>
          <w:rFonts w:ascii="Verdana" w:hAnsi="Verdana"/>
          <w:bCs/>
          <w:sz w:val="16"/>
          <w:szCs w:val="16"/>
        </w:rPr>
        <w:t xml:space="preserve">of the referendum </w:t>
      </w:r>
      <w:r w:rsidR="00696190" w:rsidRPr="00B4457B">
        <w:rPr>
          <w:rFonts w:ascii="Verdana" w:hAnsi="Verdana"/>
          <w:bCs/>
          <w:sz w:val="16"/>
          <w:szCs w:val="16"/>
        </w:rPr>
        <w:t xml:space="preserve">are </w:t>
      </w:r>
      <w:r w:rsidRPr="00B4457B">
        <w:rPr>
          <w:rFonts w:ascii="Verdana" w:hAnsi="Verdana"/>
          <w:bCs/>
          <w:sz w:val="16"/>
          <w:szCs w:val="16"/>
        </w:rPr>
        <w:t xml:space="preserve">not legally binding, political consultations </w:t>
      </w:r>
      <w:r w:rsidR="00696190" w:rsidRPr="00B4457B">
        <w:rPr>
          <w:rFonts w:ascii="Verdana" w:hAnsi="Verdana"/>
          <w:bCs/>
          <w:sz w:val="16"/>
          <w:szCs w:val="16"/>
        </w:rPr>
        <w:t xml:space="preserve">regarding the implementation of its outcome </w:t>
      </w:r>
      <w:r w:rsidRPr="00B4457B">
        <w:rPr>
          <w:rFonts w:ascii="Verdana" w:hAnsi="Verdana"/>
          <w:bCs/>
          <w:sz w:val="16"/>
          <w:szCs w:val="16"/>
        </w:rPr>
        <w:t>are currently under way between the President and political parties of Romania</w:t>
      </w:r>
      <w:r w:rsidR="00696190" w:rsidRPr="00B4457B">
        <w:rPr>
          <w:rFonts w:ascii="Verdana" w:hAnsi="Verdana"/>
          <w:bCs/>
          <w:sz w:val="16"/>
          <w:szCs w:val="16"/>
        </w:rPr>
        <w:t>;</w:t>
      </w:r>
      <w:r w:rsidR="00B37972" w:rsidRPr="00B4457B">
        <w:rPr>
          <w:rFonts w:ascii="Verdana" w:hAnsi="Verdana"/>
          <w:bCs/>
          <w:sz w:val="16"/>
          <w:szCs w:val="16"/>
        </w:rPr>
        <w:t xml:space="preserve"> </w:t>
      </w:r>
      <w:r w:rsidR="00696190" w:rsidRPr="00B4457B">
        <w:rPr>
          <w:rFonts w:ascii="Verdana" w:hAnsi="Verdana"/>
          <w:bCs/>
          <w:sz w:val="16"/>
          <w:szCs w:val="16"/>
        </w:rPr>
        <w:t xml:space="preserve">see, in particular, the following link: </w:t>
      </w:r>
      <w:hyperlink r:id="rId3" w:history="1">
        <w:r w:rsidR="00B37972" w:rsidRPr="00B4457B">
          <w:rPr>
            <w:rStyle w:val="Hyperlink"/>
            <w:rFonts w:ascii="Verdana" w:hAnsi="Verdana"/>
            <w:sz w:val="16"/>
            <w:szCs w:val="16"/>
          </w:rPr>
          <w:t>https://www.nineoclock.ro/2019/06/05/president-starts-consultations-with-parliamentary-parties-on-enacting-iohannis-ample-amending-of-constitution-not-desirable-now-referendum-on-amending-constitution-should-overlap-elections/</w:t>
        </w:r>
      </w:hyperlink>
      <w:r w:rsidR="00B37972" w:rsidRPr="00B4457B">
        <w:rPr>
          <w:rFonts w:ascii="Verdana" w:hAnsi="Verdana"/>
          <w:sz w:val="16"/>
          <w:szCs w:val="16"/>
        </w:rPr>
        <w:t xml:space="preserve"> </w:t>
      </w:r>
    </w:p>
  </w:footnote>
  <w:footnote w:id="5">
    <w:p w:rsidR="0090193A" w:rsidRPr="00B4457B" w:rsidRDefault="0090193A" w:rsidP="00B37972">
      <w:pPr>
        <w:pStyle w:val="Textnotdesubsol"/>
        <w:spacing w:after="0" w:line="240" w:lineRule="auto"/>
        <w:ind w:left="0" w:firstLine="0"/>
        <w:jc w:val="both"/>
        <w:rPr>
          <w:rFonts w:ascii="Verdana" w:hAnsi="Verdana"/>
          <w:sz w:val="16"/>
          <w:szCs w:val="16"/>
        </w:rPr>
      </w:pPr>
      <w:r w:rsidRPr="00B4457B">
        <w:rPr>
          <w:rStyle w:val="Referinnotdesubsol"/>
          <w:rFonts w:ascii="Verdana" w:hAnsi="Verdana"/>
          <w:sz w:val="16"/>
          <w:szCs w:val="16"/>
        </w:rPr>
        <w:footnoteRef/>
      </w:r>
      <w:r w:rsidRPr="00B4457B">
        <w:rPr>
          <w:rFonts w:ascii="Verdana" w:hAnsi="Verdana"/>
          <w:sz w:val="16"/>
          <w:szCs w:val="16"/>
        </w:rPr>
        <w:t xml:space="preserve"> </w:t>
      </w:r>
      <w:hyperlink r:id="rId4" w:history="1">
        <w:r w:rsidR="00B37972" w:rsidRPr="00B4457B">
          <w:rPr>
            <w:rStyle w:val="Hyperlink"/>
            <w:rFonts w:ascii="Verdana" w:hAnsi="Verdana"/>
            <w:sz w:val="16"/>
            <w:szCs w:val="16"/>
          </w:rPr>
          <w:t>https://www.nineoclock.ro/2019/05/28/bec-provides-partial-results-for-european-elections-pnl-26-35-psd-23-16-usr-plus-alliance-21-21-partial-count-reveals-over-4-million-say-yes-in-justice-referendum/</w:t>
        </w:r>
      </w:hyperlink>
      <w:r w:rsidR="00B37972" w:rsidRPr="00B4457B">
        <w:rPr>
          <w:rFonts w:ascii="Verdana" w:hAnsi="Verdana"/>
          <w:sz w:val="16"/>
          <w:szCs w:val="16"/>
        </w:rPr>
        <w:t xml:space="preserve"> </w:t>
      </w:r>
    </w:p>
  </w:footnote>
  <w:footnote w:id="6">
    <w:p w:rsidR="004940D6" w:rsidRPr="00B4457B" w:rsidRDefault="004940D6" w:rsidP="004A0978">
      <w:pPr>
        <w:spacing w:after="0" w:line="240" w:lineRule="auto"/>
        <w:jc w:val="both"/>
        <w:rPr>
          <w:rFonts w:ascii="Verdana" w:hAnsi="Verdana"/>
          <w:sz w:val="16"/>
          <w:szCs w:val="16"/>
        </w:rPr>
      </w:pPr>
      <w:r w:rsidRPr="00B4457B">
        <w:rPr>
          <w:rStyle w:val="Referinnotdesubsol"/>
          <w:rFonts w:ascii="Verdana" w:hAnsi="Verdana"/>
          <w:sz w:val="16"/>
          <w:szCs w:val="16"/>
        </w:rPr>
        <w:footnoteRef/>
      </w:r>
      <w:r w:rsidRPr="00B4457B">
        <w:rPr>
          <w:rFonts w:ascii="Verdana" w:hAnsi="Verdana"/>
          <w:sz w:val="16"/>
          <w:szCs w:val="16"/>
        </w:rPr>
        <w:t xml:space="preserve"> The Opinion of the European Commission for Democracy through Law on amendments to Law No. 303/2004 on the statute of judges and prosecutors, Law No. 304/2004 on judicial organisation and Law No. 317/2004 on the Superior Council of Magistracy was adopted at its 116th session (19-20 October 2018) and </w:t>
      </w:r>
      <w:r w:rsidR="005C7A5A" w:rsidRPr="00B4457B">
        <w:rPr>
          <w:rFonts w:ascii="Verdana" w:hAnsi="Verdana"/>
          <w:sz w:val="16"/>
          <w:szCs w:val="16"/>
        </w:rPr>
        <w:t xml:space="preserve">is </w:t>
      </w:r>
      <w:r w:rsidRPr="00B4457B">
        <w:rPr>
          <w:rFonts w:ascii="Verdana" w:hAnsi="Verdana"/>
          <w:sz w:val="16"/>
          <w:szCs w:val="16"/>
        </w:rPr>
        <w:t xml:space="preserve">accessible via the following link: </w:t>
      </w:r>
      <w:hyperlink r:id="rId5" w:history="1">
        <w:r w:rsidRPr="00B4457B">
          <w:rPr>
            <w:rStyle w:val="Hyperlink"/>
            <w:rFonts w:ascii="Verdana" w:hAnsi="Verdana"/>
            <w:sz w:val="16"/>
            <w:szCs w:val="16"/>
          </w:rPr>
          <w:t>https://www.venice.coe.int/webforms/documents/?pdf=CDL-AD(2018)017-e</w:t>
        </w:r>
      </w:hyperlink>
    </w:p>
  </w:footnote>
  <w:footnote w:id="7">
    <w:p w:rsidR="004940D6" w:rsidRPr="00B4457B" w:rsidRDefault="004940D6" w:rsidP="00B37972">
      <w:pPr>
        <w:spacing w:after="0" w:line="240" w:lineRule="auto"/>
        <w:jc w:val="both"/>
        <w:rPr>
          <w:rFonts w:ascii="Verdana" w:hAnsi="Verdana"/>
          <w:sz w:val="16"/>
          <w:szCs w:val="16"/>
        </w:rPr>
      </w:pPr>
      <w:r w:rsidRPr="00B4457B">
        <w:rPr>
          <w:rStyle w:val="Referinnotdesubsol"/>
          <w:rFonts w:ascii="Verdana" w:hAnsi="Verdana"/>
          <w:sz w:val="16"/>
          <w:szCs w:val="16"/>
        </w:rPr>
        <w:footnoteRef/>
      </w:r>
      <w:r w:rsidRPr="00B4457B">
        <w:rPr>
          <w:rFonts w:ascii="Verdana" w:hAnsi="Verdana"/>
          <w:sz w:val="16"/>
          <w:szCs w:val="16"/>
        </w:rPr>
        <w:t xml:space="preserve"> On 16 May 2019, the Bureau of the CCPE published an opinion following a request by the Romanian Movement for Defending the Status of Prosecutors as regards the situation on the independence of the prosecutors in Romania, accessible via the following link: </w:t>
      </w:r>
      <w:hyperlink r:id="rId6" w:history="1">
        <w:r w:rsidRPr="00B4457B">
          <w:rPr>
            <w:rStyle w:val="Hyperlink"/>
            <w:rFonts w:ascii="Verdana" w:hAnsi="Verdana"/>
            <w:sz w:val="16"/>
            <w:szCs w:val="16"/>
          </w:rPr>
          <w:t>https://rm.coe.int/ccpe-bu-2019-3-opinion-romania-2019-final/168094848a</w:t>
        </w:r>
      </w:hyperlink>
      <w:r w:rsidRPr="00B4457B">
        <w:rPr>
          <w:rFonts w:ascii="Verdana" w:hAnsi="Verdana"/>
          <w:sz w:val="16"/>
          <w:szCs w:val="16"/>
        </w:rPr>
        <w:t xml:space="preserve"> </w:t>
      </w:r>
    </w:p>
  </w:footnote>
  <w:footnote w:id="8">
    <w:p w:rsidR="004940D6" w:rsidRPr="00B4457B" w:rsidRDefault="004940D6" w:rsidP="00B37972">
      <w:pPr>
        <w:spacing w:after="0" w:line="240" w:lineRule="auto"/>
        <w:jc w:val="both"/>
        <w:rPr>
          <w:rFonts w:ascii="Verdana" w:hAnsi="Verdana"/>
          <w:sz w:val="16"/>
          <w:szCs w:val="16"/>
        </w:rPr>
      </w:pPr>
      <w:r w:rsidRPr="00B4457B">
        <w:rPr>
          <w:rStyle w:val="Referinnotdesubsol"/>
          <w:rFonts w:ascii="Verdana" w:hAnsi="Verdana"/>
          <w:sz w:val="16"/>
          <w:szCs w:val="16"/>
        </w:rPr>
        <w:footnoteRef/>
      </w:r>
      <w:r w:rsidRPr="00B4457B">
        <w:rPr>
          <w:rFonts w:ascii="Verdana" w:hAnsi="Verdana"/>
          <w:sz w:val="16"/>
          <w:szCs w:val="16"/>
        </w:rPr>
        <w:t xml:space="preserve"> On 25 April 2019, the Bureau of the Consultative Council of European Judges (CCJE) published an opinion following a request by the Romanian Judges Forum Association as regards the situation of the independence of the judiciary in Romania, accessible via the following link: </w:t>
      </w:r>
      <w:hyperlink r:id="rId7" w:history="1">
        <w:r w:rsidRPr="00B4457B">
          <w:rPr>
            <w:rStyle w:val="Hyperlink"/>
            <w:rFonts w:ascii="Verdana" w:hAnsi="Verdana"/>
            <w:sz w:val="16"/>
            <w:szCs w:val="16"/>
          </w:rPr>
          <w:t>https://rm.coe.int/ccje-bu-2019-4-en-opinion-romania-2019-final-25-april-2019/168094556c</w:t>
        </w:r>
      </w:hyperlink>
      <w:r w:rsidRPr="00B4457B">
        <w:rPr>
          <w:rFonts w:ascii="Verdana" w:hAnsi="Verdana"/>
          <w:sz w:val="16"/>
          <w:szCs w:val="16"/>
        </w:rPr>
        <w:t xml:space="preserve"> </w:t>
      </w:r>
    </w:p>
  </w:footnote>
  <w:footnote w:id="9">
    <w:p w:rsidR="005049E6" w:rsidRPr="00B4457B" w:rsidRDefault="004940D6" w:rsidP="00B37972">
      <w:pPr>
        <w:spacing w:after="0" w:line="240" w:lineRule="auto"/>
        <w:jc w:val="both"/>
        <w:rPr>
          <w:rFonts w:ascii="Verdana" w:hAnsi="Verdana"/>
          <w:sz w:val="16"/>
          <w:szCs w:val="16"/>
        </w:rPr>
      </w:pPr>
      <w:r w:rsidRPr="00B4457B">
        <w:rPr>
          <w:rStyle w:val="Referinnotdesubsol"/>
          <w:rFonts w:ascii="Verdana" w:hAnsi="Verdana"/>
          <w:sz w:val="16"/>
          <w:szCs w:val="16"/>
        </w:rPr>
        <w:footnoteRef/>
      </w:r>
      <w:r w:rsidRPr="00B4457B">
        <w:rPr>
          <w:rFonts w:ascii="Verdana" w:hAnsi="Verdana"/>
          <w:sz w:val="16"/>
          <w:szCs w:val="16"/>
        </w:rPr>
        <w:t xml:space="preserve"> The CVM Report COM(2018)851 is accessible via the following link:</w:t>
      </w:r>
    </w:p>
    <w:p w:rsidR="004940D6" w:rsidRPr="00B4457B" w:rsidRDefault="00E76DF5" w:rsidP="00B37972">
      <w:pPr>
        <w:spacing w:after="0" w:line="240" w:lineRule="auto"/>
        <w:jc w:val="both"/>
        <w:rPr>
          <w:rFonts w:ascii="Verdana" w:hAnsi="Verdana"/>
          <w:sz w:val="16"/>
          <w:szCs w:val="16"/>
        </w:rPr>
      </w:pPr>
      <w:hyperlink r:id="rId8" w:history="1">
        <w:r w:rsidR="004940D6" w:rsidRPr="00B4457B">
          <w:rPr>
            <w:rStyle w:val="Hyperlink"/>
            <w:rFonts w:ascii="Verdana" w:hAnsi="Verdana"/>
            <w:sz w:val="16"/>
            <w:szCs w:val="16"/>
          </w:rPr>
          <w:t>https://ec.europa.eu/info/sites/info/files/progress-report-romania-2018-com-2018-com-2018-851_en.pdf</w:t>
        </w:r>
      </w:hyperlink>
    </w:p>
  </w:footnote>
  <w:footnote w:id="10">
    <w:p w:rsidR="004940D6" w:rsidRPr="00B4457B" w:rsidRDefault="004940D6" w:rsidP="00B37972">
      <w:pPr>
        <w:spacing w:after="0" w:line="240" w:lineRule="auto"/>
        <w:jc w:val="both"/>
        <w:rPr>
          <w:rFonts w:ascii="Verdana" w:hAnsi="Verdana"/>
          <w:sz w:val="16"/>
          <w:szCs w:val="16"/>
        </w:rPr>
      </w:pPr>
      <w:r w:rsidRPr="00B4457B">
        <w:rPr>
          <w:rStyle w:val="Referinnotdesubsol"/>
          <w:rFonts w:ascii="Verdana" w:hAnsi="Verdana"/>
          <w:sz w:val="16"/>
          <w:szCs w:val="16"/>
        </w:rPr>
        <w:footnoteRef/>
      </w:r>
      <w:r w:rsidRPr="00B4457B">
        <w:rPr>
          <w:rFonts w:ascii="Verdana" w:hAnsi="Verdana"/>
          <w:sz w:val="16"/>
          <w:szCs w:val="16"/>
        </w:rPr>
        <w:t xml:space="preserve"> Emergency Ordinance no. 90 of 10 October 2018 on some measures for the operationali</w:t>
      </w:r>
      <w:r w:rsidR="00EE4423" w:rsidRPr="00B4457B">
        <w:rPr>
          <w:rFonts w:ascii="Verdana" w:hAnsi="Verdana"/>
          <w:sz w:val="16"/>
          <w:szCs w:val="16"/>
        </w:rPr>
        <w:t>s</w:t>
      </w:r>
      <w:r w:rsidRPr="00B4457B">
        <w:rPr>
          <w:rFonts w:ascii="Verdana" w:hAnsi="Verdana"/>
          <w:sz w:val="16"/>
          <w:szCs w:val="16"/>
        </w:rPr>
        <w:t>ation of the Section for the Investigation of Criminal Offences within the judiciary, Official Gazette no. 862 of 10 October 2018; Emergency Ordinance no. 92/15.10.2018 for amending and completing some normative acts in the field of justice, published in the Official Gazette no 874/16 October 2018; Emergency Ordinance no. 7/2019 o</w:t>
      </w:r>
      <w:r w:rsidR="00501AC5" w:rsidRPr="00B4457B">
        <w:rPr>
          <w:rFonts w:ascii="Verdana" w:hAnsi="Verdana"/>
          <w:sz w:val="16"/>
          <w:szCs w:val="16"/>
        </w:rPr>
        <w:t>f</w:t>
      </w:r>
      <w:r w:rsidRPr="00B4457B">
        <w:rPr>
          <w:rFonts w:ascii="Verdana" w:hAnsi="Verdana"/>
          <w:sz w:val="16"/>
          <w:szCs w:val="16"/>
        </w:rPr>
        <w:t xml:space="preserve"> 20 February 2019 and Emergency Ordinance no. 12/2019 of 5 March 2019 amending and supplementing some normative acts in the field of justice.</w:t>
      </w:r>
    </w:p>
  </w:footnote>
  <w:footnote w:id="11">
    <w:p w:rsidR="004940D6" w:rsidRPr="00B4457B" w:rsidRDefault="004940D6" w:rsidP="00B37972">
      <w:pPr>
        <w:spacing w:after="0" w:line="240" w:lineRule="auto"/>
        <w:contextualSpacing/>
        <w:jc w:val="both"/>
        <w:rPr>
          <w:rFonts w:ascii="Verdana" w:hAnsi="Verdana"/>
          <w:noProof/>
          <w:sz w:val="16"/>
          <w:szCs w:val="16"/>
        </w:rPr>
      </w:pPr>
      <w:r w:rsidRPr="00B4457B">
        <w:rPr>
          <w:rStyle w:val="Referinnotdesubsol"/>
          <w:rFonts w:ascii="Verdana" w:hAnsi="Verdana"/>
          <w:sz w:val="16"/>
          <w:szCs w:val="16"/>
        </w:rPr>
        <w:footnoteRef/>
      </w:r>
      <w:r w:rsidRPr="00B4457B">
        <w:rPr>
          <w:rFonts w:ascii="Verdana" w:hAnsi="Verdana"/>
          <w:sz w:val="16"/>
          <w:szCs w:val="16"/>
        </w:rPr>
        <w:t xml:space="preserve"> </w:t>
      </w:r>
      <w:r w:rsidRPr="00B4457B">
        <w:rPr>
          <w:rFonts w:ascii="Verdana" w:hAnsi="Verdana"/>
          <w:noProof/>
          <w:sz w:val="16"/>
          <w:szCs w:val="16"/>
        </w:rPr>
        <w:t xml:space="preserve">Art. 82 </w:t>
      </w:r>
    </w:p>
    <w:p w:rsidR="004940D6" w:rsidRPr="00B4457B" w:rsidRDefault="004940D6" w:rsidP="00B37972">
      <w:pPr>
        <w:spacing w:after="0" w:line="240" w:lineRule="auto"/>
        <w:contextualSpacing/>
        <w:jc w:val="both"/>
        <w:rPr>
          <w:rFonts w:ascii="Verdana" w:hAnsi="Verdana"/>
          <w:noProof/>
          <w:sz w:val="16"/>
          <w:szCs w:val="16"/>
        </w:rPr>
      </w:pPr>
      <w:r w:rsidRPr="00B4457B">
        <w:rPr>
          <w:rFonts w:ascii="Verdana" w:hAnsi="Verdana"/>
          <w:noProof/>
          <w:sz w:val="16"/>
          <w:szCs w:val="16"/>
        </w:rPr>
        <w:t xml:space="preserve">(3) Judges, prosecutors and assistant magistrates from the High Court of Cassation and Justice and judges and assistant magistrates from the Constitutional Court with a seniority </w:t>
      </w:r>
      <w:r w:rsidR="00EE4423" w:rsidRPr="00B4457B">
        <w:rPr>
          <w:rFonts w:ascii="Verdana" w:hAnsi="Verdana"/>
          <w:noProof/>
          <w:sz w:val="16"/>
          <w:szCs w:val="16"/>
        </w:rPr>
        <w:t xml:space="preserve">of </w:t>
      </w:r>
      <w:r w:rsidRPr="00B4457B">
        <w:rPr>
          <w:rFonts w:ascii="Verdana" w:hAnsi="Verdana"/>
          <w:noProof/>
          <w:sz w:val="16"/>
          <w:szCs w:val="16"/>
        </w:rPr>
        <w:t>between 20 and 25 years only in these functions benefit, upon request, before reaching the age of 60, f</w:t>
      </w:r>
      <w:r w:rsidR="00EE4423" w:rsidRPr="00B4457B">
        <w:rPr>
          <w:rFonts w:ascii="Verdana" w:hAnsi="Verdana"/>
          <w:noProof/>
          <w:sz w:val="16"/>
          <w:szCs w:val="16"/>
        </w:rPr>
        <w:t>r</w:t>
      </w:r>
      <w:r w:rsidRPr="00B4457B">
        <w:rPr>
          <w:rFonts w:ascii="Verdana" w:hAnsi="Verdana"/>
          <w:noProof/>
          <w:sz w:val="16"/>
          <w:szCs w:val="16"/>
        </w:rPr>
        <w:t>o</w:t>
      </w:r>
      <w:r w:rsidR="00EE4423" w:rsidRPr="00B4457B">
        <w:rPr>
          <w:rFonts w:ascii="Verdana" w:hAnsi="Verdana"/>
          <w:noProof/>
          <w:sz w:val="16"/>
          <w:szCs w:val="16"/>
        </w:rPr>
        <w:t>m</w:t>
      </w:r>
      <w:r w:rsidRPr="00B4457B">
        <w:rPr>
          <w:rFonts w:ascii="Verdana" w:hAnsi="Verdana"/>
          <w:noProof/>
          <w:sz w:val="16"/>
          <w:szCs w:val="16"/>
        </w:rPr>
        <w:t xml:space="preserve"> the service pension provided in para. (1), in which case the amount of the pension is reduced by 1% from the calculation basis stipulated in para. (1) for each year missing from full seniority in these offices.</w:t>
      </w:r>
    </w:p>
  </w:footnote>
  <w:footnote w:id="12">
    <w:p w:rsidR="004940D6" w:rsidRPr="00B4457B" w:rsidRDefault="004940D6" w:rsidP="00B37972">
      <w:pPr>
        <w:spacing w:after="0" w:line="240" w:lineRule="auto"/>
        <w:contextualSpacing/>
        <w:jc w:val="both"/>
        <w:rPr>
          <w:rFonts w:ascii="Verdana" w:hAnsi="Verdana" w:cs="Arial"/>
          <w:bCs/>
          <w:noProof/>
          <w:sz w:val="16"/>
          <w:szCs w:val="16"/>
        </w:rPr>
      </w:pPr>
      <w:r w:rsidRPr="00B4457B">
        <w:rPr>
          <w:rStyle w:val="Referinnotdesubsol"/>
          <w:rFonts w:ascii="Verdana" w:hAnsi="Verdana"/>
          <w:sz w:val="16"/>
          <w:szCs w:val="16"/>
        </w:rPr>
        <w:footnoteRef/>
      </w:r>
      <w:r w:rsidRPr="00B4457B">
        <w:rPr>
          <w:rFonts w:ascii="Verdana" w:hAnsi="Verdana"/>
          <w:sz w:val="16"/>
          <w:szCs w:val="16"/>
        </w:rPr>
        <w:t xml:space="preserve"> </w:t>
      </w:r>
      <w:r w:rsidRPr="00B4457B">
        <w:rPr>
          <w:rFonts w:ascii="Verdana" w:hAnsi="Verdana" w:cs="Arial"/>
          <w:bCs/>
          <w:noProof/>
          <w:sz w:val="16"/>
          <w:szCs w:val="16"/>
        </w:rPr>
        <w:t xml:space="preserve">Art. 16 </w:t>
      </w:r>
    </w:p>
    <w:p w:rsidR="004940D6" w:rsidRPr="00B4457B" w:rsidRDefault="004940D6" w:rsidP="00B37972">
      <w:pPr>
        <w:spacing w:after="0" w:line="240" w:lineRule="auto"/>
        <w:contextualSpacing/>
        <w:jc w:val="both"/>
        <w:rPr>
          <w:rFonts w:ascii="Verdana" w:hAnsi="Verdana" w:cs="Arial"/>
          <w:bCs/>
          <w:noProof/>
          <w:sz w:val="16"/>
          <w:szCs w:val="16"/>
        </w:rPr>
      </w:pPr>
      <w:r w:rsidRPr="00B4457B">
        <w:rPr>
          <w:rFonts w:ascii="Verdana" w:hAnsi="Verdana"/>
          <w:noProof/>
          <w:sz w:val="16"/>
          <w:szCs w:val="16"/>
        </w:rPr>
        <w:t>(3) The period of the professional training courses of the auditors of justice is 4 years. After the first year of the courses, the auditors will follow internships for periods of six months at: courts, prosecutors' offices, prisons and law firms. In the last year of internship, trainees will also follow internships in other institutions relevant for professional training. The institutions where the internships will take place and their duration are set by the Plenum of the Superior Council of Magistracy, at the proposal of the National Institute of Magistracy, for each cycle of education. The internships will be organized on the basis of collaboration protocols between the National Institute of Magistracy and institutions relevant for professional training.</w:t>
      </w:r>
    </w:p>
  </w:footnote>
  <w:footnote w:id="13">
    <w:p w:rsidR="004940D6" w:rsidRPr="00B4457B" w:rsidRDefault="004940D6" w:rsidP="00B37972">
      <w:pPr>
        <w:spacing w:after="0" w:line="240" w:lineRule="auto"/>
        <w:contextualSpacing/>
        <w:jc w:val="both"/>
        <w:rPr>
          <w:rFonts w:ascii="Verdana" w:hAnsi="Verdana"/>
          <w:sz w:val="16"/>
          <w:szCs w:val="16"/>
        </w:rPr>
      </w:pPr>
      <w:r w:rsidRPr="00B4457B">
        <w:rPr>
          <w:rStyle w:val="Referinnotdesubsol"/>
          <w:rFonts w:ascii="Verdana" w:hAnsi="Verdana"/>
          <w:sz w:val="16"/>
          <w:szCs w:val="16"/>
        </w:rPr>
        <w:footnoteRef/>
      </w:r>
      <w:r w:rsidRPr="00B4457B">
        <w:rPr>
          <w:rFonts w:ascii="Verdana" w:hAnsi="Verdana"/>
          <w:sz w:val="16"/>
          <w:szCs w:val="16"/>
        </w:rPr>
        <w:t xml:space="preserve"> </w:t>
      </w:r>
      <w:r w:rsidR="00AB1709" w:rsidRPr="00B4457B">
        <w:rPr>
          <w:rFonts w:ascii="Verdana" w:hAnsi="Verdana"/>
          <w:sz w:val="16"/>
          <w:szCs w:val="16"/>
        </w:rPr>
        <w:t xml:space="preserve">According to the Ad hoc Report of GRECO, </w:t>
      </w:r>
      <w:r w:rsidR="003C0189" w:rsidRPr="00B4457B">
        <w:rPr>
          <w:rFonts w:ascii="Verdana" w:hAnsi="Verdana"/>
          <w:sz w:val="16"/>
          <w:szCs w:val="16"/>
        </w:rPr>
        <w:t xml:space="preserve">there were </w:t>
      </w:r>
      <w:r w:rsidR="00AB1709" w:rsidRPr="00B4457B">
        <w:rPr>
          <w:rFonts w:ascii="Verdana" w:hAnsi="Verdana"/>
          <w:sz w:val="16"/>
          <w:szCs w:val="16"/>
        </w:rPr>
        <w:t>n</w:t>
      </w:r>
      <w:r w:rsidRPr="00B4457B">
        <w:rPr>
          <w:rFonts w:ascii="Verdana" w:hAnsi="Verdana"/>
          <w:sz w:val="16"/>
          <w:szCs w:val="16"/>
        </w:rPr>
        <w:t xml:space="preserve">o particular data or assessments demonstrating the existence of structural problems in the Judiciary, which would warrant such an initiative; </w:t>
      </w:r>
      <w:r w:rsidR="003C0189" w:rsidRPr="00B4457B">
        <w:rPr>
          <w:rFonts w:ascii="Verdana" w:hAnsi="Verdana"/>
          <w:sz w:val="16"/>
          <w:szCs w:val="16"/>
        </w:rPr>
        <w:t>there was a risk of p</w:t>
      </w:r>
      <w:r w:rsidRPr="00B4457B">
        <w:rPr>
          <w:rFonts w:ascii="Verdana" w:hAnsi="Verdana"/>
          <w:sz w:val="16"/>
          <w:szCs w:val="16"/>
        </w:rPr>
        <w:t xml:space="preserve">ossible conflicts of jurisdiction with the existing specialised offices (DNA, DIICOT, military prosecutor’s offices); </w:t>
      </w:r>
      <w:r w:rsidR="003C0189" w:rsidRPr="00B4457B">
        <w:rPr>
          <w:rFonts w:ascii="Verdana" w:hAnsi="Verdana"/>
          <w:sz w:val="16"/>
          <w:szCs w:val="16"/>
        </w:rPr>
        <w:t>GRECO’s interlocutors expressed f</w:t>
      </w:r>
      <w:r w:rsidRPr="00B4457B">
        <w:rPr>
          <w:rFonts w:ascii="Verdana" w:hAnsi="Verdana"/>
          <w:sz w:val="16"/>
          <w:szCs w:val="16"/>
        </w:rPr>
        <w:t>ears that this section could easily be misused to remove cases handled by the specialised prosecution offices, or interfere in sensitive high-profile cases, if complaints against a magistrate were lodged incidentally in those cases, as they would automatically fall under the competence of the new section.</w:t>
      </w:r>
    </w:p>
  </w:footnote>
  <w:footnote w:id="14">
    <w:p w:rsidR="006C303A" w:rsidRPr="00B4457B" w:rsidRDefault="004940D6" w:rsidP="00B37972">
      <w:pPr>
        <w:spacing w:after="0" w:line="240" w:lineRule="auto"/>
        <w:contextualSpacing/>
        <w:jc w:val="both"/>
        <w:rPr>
          <w:rFonts w:ascii="Verdana" w:hAnsi="Verdana"/>
          <w:sz w:val="16"/>
          <w:szCs w:val="16"/>
        </w:rPr>
      </w:pPr>
      <w:r w:rsidRPr="00B4457B">
        <w:rPr>
          <w:rStyle w:val="Referinnotdesubsol"/>
          <w:rFonts w:ascii="Verdana" w:hAnsi="Verdana"/>
          <w:sz w:val="16"/>
          <w:szCs w:val="16"/>
        </w:rPr>
        <w:footnoteRef/>
      </w:r>
      <w:r w:rsidRPr="00B4457B">
        <w:rPr>
          <w:rFonts w:ascii="Verdana" w:hAnsi="Verdana"/>
          <w:sz w:val="16"/>
          <w:szCs w:val="16"/>
        </w:rPr>
        <w:t xml:space="preserve"> Initially, the President of Romania rejected the proposed dismissal, in line with the negative opinion of the SCM. The refusal was challenged by the Minister of Justice before the Constitutional Court. In its decision of 30 May 2018, the Constitutional Court stated that the President had no refusal power in the revocation process. The Court explained, in particular, that the President’s power in the dismissal procedure was limited to verifying the legality of the procedure and did not include a power for the President to analyse, on the merits, the dismissal proposal and its opportunity. This decision reinforced the trend of increased power for the Minister. Following this ruling, the President was required to sign the dismissal decision in July 2018.</w:t>
      </w:r>
    </w:p>
  </w:footnote>
  <w:footnote w:id="15">
    <w:p w:rsidR="006C303A" w:rsidRPr="00B4457B" w:rsidRDefault="004940D6" w:rsidP="00B37972">
      <w:pPr>
        <w:spacing w:after="0" w:line="240" w:lineRule="auto"/>
        <w:contextualSpacing/>
        <w:jc w:val="both"/>
        <w:rPr>
          <w:rFonts w:ascii="Verdana" w:hAnsi="Verdana"/>
          <w:sz w:val="16"/>
          <w:szCs w:val="16"/>
        </w:rPr>
      </w:pPr>
      <w:r w:rsidRPr="00B4457B">
        <w:rPr>
          <w:rStyle w:val="Referinnotdesubsol"/>
          <w:rFonts w:ascii="Verdana" w:hAnsi="Verdana"/>
          <w:sz w:val="16"/>
          <w:szCs w:val="16"/>
        </w:rPr>
        <w:footnoteRef/>
      </w:r>
      <w:r w:rsidRPr="00B4457B">
        <w:rPr>
          <w:rFonts w:ascii="Verdana" w:hAnsi="Verdana"/>
          <w:sz w:val="16"/>
          <w:szCs w:val="16"/>
        </w:rPr>
        <w:t xml:space="preserve"> GRECO </w:t>
      </w:r>
      <w:r w:rsidR="006C303A" w:rsidRPr="00B4457B">
        <w:rPr>
          <w:rFonts w:ascii="Verdana" w:hAnsi="Verdana"/>
          <w:sz w:val="16"/>
          <w:szCs w:val="16"/>
        </w:rPr>
        <w:t xml:space="preserve">notes </w:t>
      </w:r>
      <w:r w:rsidRPr="00B4457B">
        <w:rPr>
          <w:rFonts w:ascii="Verdana" w:hAnsi="Verdana"/>
          <w:sz w:val="16"/>
          <w:szCs w:val="16"/>
        </w:rPr>
        <w:t xml:space="preserve">the appointment, on </w:t>
      </w:r>
      <w:r w:rsidR="003C0189" w:rsidRPr="00B4457B">
        <w:rPr>
          <w:rFonts w:ascii="Verdana" w:hAnsi="Verdana"/>
          <w:sz w:val="16"/>
          <w:szCs w:val="16"/>
        </w:rPr>
        <w:t xml:space="preserve">8 </w:t>
      </w:r>
      <w:r w:rsidRPr="00B4457B">
        <w:rPr>
          <w:rFonts w:ascii="Verdana" w:hAnsi="Verdana"/>
          <w:sz w:val="16"/>
          <w:szCs w:val="16"/>
        </w:rPr>
        <w:t xml:space="preserve">May 2019, </w:t>
      </w:r>
      <w:r w:rsidR="003C0189" w:rsidRPr="00B4457B">
        <w:rPr>
          <w:rFonts w:ascii="Verdana" w:hAnsi="Verdana"/>
          <w:sz w:val="16"/>
          <w:szCs w:val="16"/>
        </w:rPr>
        <w:t xml:space="preserve">of </w:t>
      </w:r>
      <w:r w:rsidRPr="00B4457B">
        <w:rPr>
          <w:rFonts w:ascii="Verdana" w:hAnsi="Verdana"/>
          <w:sz w:val="16"/>
          <w:szCs w:val="16"/>
        </w:rPr>
        <w:t xml:space="preserve">the </w:t>
      </w:r>
      <w:r w:rsidR="003C0189" w:rsidRPr="00B4457B">
        <w:rPr>
          <w:rFonts w:ascii="Verdana" w:hAnsi="Verdana"/>
          <w:sz w:val="16"/>
          <w:szCs w:val="16"/>
        </w:rPr>
        <w:t xml:space="preserve">now former </w:t>
      </w:r>
      <w:r w:rsidRPr="00B4457B">
        <w:rPr>
          <w:rFonts w:ascii="Verdana" w:hAnsi="Verdana"/>
          <w:sz w:val="16"/>
          <w:szCs w:val="16"/>
        </w:rPr>
        <w:t>Head of the newly created Special Section for the Investigation of Offences in the Judiciary, as judge of the Constitutional Court, upon nomination by the ruling Social Democratic Party.</w:t>
      </w:r>
    </w:p>
  </w:footnote>
  <w:footnote w:id="16">
    <w:p w:rsidR="00B81F34" w:rsidRPr="00B4457B" w:rsidRDefault="00B81F34" w:rsidP="00B81F34">
      <w:pPr>
        <w:spacing w:after="0" w:line="240" w:lineRule="auto"/>
        <w:contextualSpacing/>
        <w:jc w:val="both"/>
        <w:rPr>
          <w:rFonts w:ascii="Verdana" w:hAnsi="Verdana"/>
          <w:sz w:val="16"/>
          <w:szCs w:val="16"/>
        </w:rPr>
      </w:pPr>
      <w:r w:rsidRPr="00B4457B">
        <w:rPr>
          <w:rStyle w:val="Referinnotdesubsol"/>
          <w:rFonts w:ascii="Verdana" w:hAnsi="Verdana"/>
          <w:sz w:val="16"/>
          <w:szCs w:val="16"/>
        </w:rPr>
        <w:footnoteRef/>
      </w:r>
      <w:r w:rsidRPr="00B4457B">
        <w:rPr>
          <w:rFonts w:ascii="Verdana" w:hAnsi="Verdana"/>
          <w:sz w:val="16"/>
          <w:szCs w:val="16"/>
        </w:rPr>
        <w:t xml:space="preserve"> As confirmed by the judgment no. 2862/1/2018 of the High Court of Cassation and Justice, published on 12 June 2019.</w:t>
      </w:r>
    </w:p>
  </w:footnote>
  <w:footnote w:id="17">
    <w:p w:rsidR="004940D6" w:rsidRPr="00B4457B" w:rsidRDefault="004940D6" w:rsidP="00B37972">
      <w:pPr>
        <w:autoSpaceDE w:val="0"/>
        <w:autoSpaceDN w:val="0"/>
        <w:adjustRightInd w:val="0"/>
        <w:spacing w:after="0" w:line="240" w:lineRule="auto"/>
        <w:jc w:val="both"/>
        <w:rPr>
          <w:rFonts w:ascii="Verdana" w:hAnsi="Verdana"/>
          <w:sz w:val="16"/>
          <w:szCs w:val="16"/>
        </w:rPr>
      </w:pPr>
      <w:r w:rsidRPr="00B4457B">
        <w:rPr>
          <w:rStyle w:val="Referinnotdesubsol"/>
          <w:rFonts w:ascii="Verdana" w:hAnsi="Verdana"/>
          <w:sz w:val="16"/>
          <w:szCs w:val="16"/>
        </w:rPr>
        <w:footnoteRef/>
      </w:r>
      <w:r w:rsidRPr="00B4457B">
        <w:rPr>
          <w:rFonts w:ascii="Verdana" w:hAnsi="Verdana"/>
          <w:sz w:val="16"/>
          <w:szCs w:val="16"/>
        </w:rPr>
        <w:t xml:space="preserve"> In particular, the Commission took the view that “the establishment of the new section for investigation of offences committed by magistrates in the amended Justice laws creates a specific concern with regard to the fight against corruption, as a new structure could be more vulnerable in terms of independence than has been the case so far with the DNA, as it could be used as an additional instrument to intimidate and put pressure on magistrates. In addition, as a generalist department dealing with all crimes by magistrates, it will also lack expertise in terms of investigating specific corruption crimes, and the impact would be accentuated if investigations of all individuals linked to a case involving a magistrate were also removed from the jurisdiction of the DNA.”</w:t>
      </w:r>
    </w:p>
  </w:footnote>
  <w:footnote w:id="18">
    <w:p w:rsidR="004940D6" w:rsidRPr="00B4457B" w:rsidRDefault="004940D6" w:rsidP="00B37972">
      <w:pPr>
        <w:autoSpaceDE w:val="0"/>
        <w:autoSpaceDN w:val="0"/>
        <w:adjustRightInd w:val="0"/>
        <w:spacing w:after="0" w:line="240" w:lineRule="auto"/>
        <w:jc w:val="both"/>
        <w:rPr>
          <w:rFonts w:ascii="Verdana" w:hAnsi="Verdana" w:cs="Arial"/>
          <w:bCs/>
          <w:sz w:val="16"/>
          <w:szCs w:val="16"/>
        </w:rPr>
      </w:pPr>
      <w:r w:rsidRPr="00B4457B">
        <w:rPr>
          <w:rStyle w:val="Referinnotdesubsol"/>
          <w:rFonts w:ascii="Verdana" w:hAnsi="Verdana"/>
          <w:sz w:val="16"/>
          <w:szCs w:val="16"/>
        </w:rPr>
        <w:footnoteRef/>
      </w:r>
      <w:r w:rsidRPr="00B4457B">
        <w:rPr>
          <w:rFonts w:ascii="Verdana" w:hAnsi="Verdana"/>
          <w:sz w:val="16"/>
          <w:szCs w:val="16"/>
        </w:rPr>
        <w:t xml:space="preserve"> </w:t>
      </w:r>
      <w:r w:rsidRPr="00B4457B">
        <w:rPr>
          <w:rFonts w:ascii="Verdana" w:hAnsi="Verdana" w:cs="Arial"/>
          <w:bCs/>
          <w:sz w:val="16"/>
          <w:szCs w:val="16"/>
        </w:rPr>
        <w:t>Report on European standards as regards the independence of the judicial system: part ii – the prosecution service, adopted by the Venice Commission at its 85th plenary session (Venice, 17-18 December 2010), page 7</w:t>
      </w:r>
    </w:p>
    <w:p w:rsidR="004940D6" w:rsidRPr="00B4457B" w:rsidRDefault="004940D6" w:rsidP="00B37972">
      <w:pPr>
        <w:pStyle w:val="Textnotdesubsol"/>
        <w:spacing w:after="0" w:line="240" w:lineRule="auto"/>
        <w:ind w:left="0"/>
        <w:jc w:val="both"/>
        <w:rPr>
          <w:rFonts w:ascii="Verdana" w:hAnsi="Verdana"/>
          <w:sz w:val="16"/>
          <w:szCs w:val="16"/>
        </w:rPr>
      </w:pPr>
    </w:p>
  </w:footnote>
  <w:footnote w:id="19">
    <w:p w:rsidR="004940D6" w:rsidRPr="00B4457B" w:rsidRDefault="004940D6" w:rsidP="00B37972">
      <w:pPr>
        <w:autoSpaceDE w:val="0"/>
        <w:autoSpaceDN w:val="0"/>
        <w:adjustRightInd w:val="0"/>
        <w:spacing w:after="0" w:line="240" w:lineRule="auto"/>
        <w:jc w:val="both"/>
        <w:rPr>
          <w:rFonts w:ascii="Verdana" w:hAnsi="Verdana"/>
          <w:sz w:val="16"/>
          <w:szCs w:val="16"/>
        </w:rPr>
      </w:pPr>
      <w:r w:rsidRPr="00B4457B">
        <w:rPr>
          <w:rStyle w:val="Referinnotdesubsol"/>
          <w:rFonts w:ascii="Verdana" w:hAnsi="Verdana"/>
          <w:sz w:val="16"/>
          <w:szCs w:val="16"/>
        </w:rPr>
        <w:footnoteRef/>
      </w:r>
      <w:r w:rsidRPr="00B4457B">
        <w:rPr>
          <w:rFonts w:ascii="Verdana" w:hAnsi="Verdana"/>
          <w:sz w:val="16"/>
          <w:szCs w:val="16"/>
        </w:rPr>
        <w:t xml:space="preserve"> See the Opinion of the European Commission for Democracy through Law on amendments to Law No. 303/2004 on the statute of judges and prosecutors, Law No. 304/2004 on judicial organisation and Law No. 317/2004 on the Superior Council of Magistracy, accessible via the following link: </w:t>
      </w:r>
    </w:p>
    <w:p w:rsidR="004940D6" w:rsidRPr="00B4457B" w:rsidRDefault="00E76DF5" w:rsidP="00B37972">
      <w:pPr>
        <w:pStyle w:val="Textnotdesubsol"/>
        <w:spacing w:after="0" w:line="240" w:lineRule="auto"/>
        <w:ind w:left="0" w:firstLine="0"/>
        <w:jc w:val="both"/>
        <w:rPr>
          <w:rFonts w:ascii="Verdana" w:hAnsi="Verdana"/>
          <w:sz w:val="16"/>
          <w:szCs w:val="16"/>
        </w:rPr>
      </w:pPr>
      <w:hyperlink r:id="rId9" w:history="1">
        <w:r w:rsidR="004940D6" w:rsidRPr="00B4457B">
          <w:rPr>
            <w:rStyle w:val="Hyperlink"/>
            <w:rFonts w:ascii="Verdana" w:hAnsi="Verdana"/>
            <w:sz w:val="16"/>
            <w:szCs w:val="16"/>
          </w:rPr>
          <w:t>https://www.venice.coe.int/webforms/documents/?pdf=CDL-AD(2018)017-e</w:t>
        </w:r>
      </w:hyperlink>
      <w:r w:rsidR="004940D6" w:rsidRPr="00B4457B">
        <w:rPr>
          <w:rFonts w:ascii="Verdana" w:hAnsi="Verdana"/>
          <w:sz w:val="16"/>
          <w:szCs w:val="16"/>
        </w:rPr>
        <w:t xml:space="preserve"> </w:t>
      </w:r>
    </w:p>
  </w:footnote>
  <w:footnote w:id="20">
    <w:p w:rsidR="00F929A3" w:rsidRPr="00B4457B" w:rsidRDefault="00F929A3">
      <w:pPr>
        <w:pStyle w:val="Textnotdesubsol"/>
        <w:rPr>
          <w:rFonts w:ascii="Verdana" w:hAnsi="Verdana"/>
          <w:sz w:val="16"/>
          <w:szCs w:val="16"/>
        </w:rPr>
      </w:pPr>
      <w:r w:rsidRPr="00B4457B">
        <w:rPr>
          <w:rStyle w:val="Referinnotdesubsol"/>
          <w:rFonts w:ascii="Verdana" w:hAnsi="Verdana"/>
          <w:sz w:val="16"/>
          <w:szCs w:val="16"/>
        </w:rPr>
        <w:footnoteRef/>
      </w:r>
      <w:r w:rsidRPr="00B4457B">
        <w:rPr>
          <w:rFonts w:ascii="Verdana" w:hAnsi="Verdana"/>
          <w:sz w:val="16"/>
          <w:szCs w:val="16"/>
        </w:rPr>
        <w:t xml:space="preserve"> </w:t>
      </w:r>
      <w:r w:rsidR="00A22041" w:rsidRPr="00B4457B">
        <w:rPr>
          <w:rFonts w:ascii="Verdana" w:hAnsi="Verdana"/>
          <w:sz w:val="16"/>
          <w:szCs w:val="16"/>
        </w:rPr>
        <w:t>The decision no. 358/2018 of the Constitutional Court, adopted on 30 May 2018</w:t>
      </w:r>
    </w:p>
  </w:footnote>
  <w:footnote w:id="21">
    <w:p w:rsidR="004940D6" w:rsidRPr="00B4457B" w:rsidRDefault="004940D6" w:rsidP="00B37972">
      <w:pPr>
        <w:autoSpaceDE w:val="0"/>
        <w:autoSpaceDN w:val="0"/>
        <w:adjustRightInd w:val="0"/>
        <w:spacing w:after="0" w:line="240" w:lineRule="auto"/>
        <w:jc w:val="both"/>
        <w:rPr>
          <w:rFonts w:ascii="Verdana" w:hAnsi="Verdana"/>
          <w:sz w:val="16"/>
          <w:szCs w:val="16"/>
        </w:rPr>
      </w:pPr>
      <w:r w:rsidRPr="00B4457B">
        <w:rPr>
          <w:rStyle w:val="Referinnotdesubsol"/>
          <w:rFonts w:ascii="Verdana" w:hAnsi="Verdana"/>
          <w:sz w:val="16"/>
          <w:szCs w:val="16"/>
        </w:rPr>
        <w:footnoteRef/>
      </w:r>
      <w:r w:rsidRPr="00B4457B">
        <w:rPr>
          <w:rFonts w:ascii="Verdana" w:hAnsi="Verdana"/>
          <w:sz w:val="16"/>
          <w:szCs w:val="16"/>
        </w:rPr>
        <w:t xml:space="preserve"> Unofficial translation provi</w:t>
      </w:r>
      <w:r w:rsidR="00B37972" w:rsidRPr="00B4457B">
        <w:rPr>
          <w:rFonts w:ascii="Verdana" w:hAnsi="Verdana"/>
          <w:sz w:val="16"/>
          <w:szCs w:val="16"/>
        </w:rPr>
        <w:t>ded by the Romanian authorities</w:t>
      </w:r>
      <w:r w:rsidR="00AD55EE" w:rsidRPr="00B4457B">
        <w:rPr>
          <w:rFonts w:ascii="Verdana" w:hAnsi="Verdana"/>
          <w:sz w:val="16"/>
          <w:szCs w:val="16"/>
        </w:rPr>
        <w:t>.</w:t>
      </w:r>
    </w:p>
  </w:footnote>
  <w:footnote w:id="22">
    <w:p w:rsidR="004940D6" w:rsidRPr="00B4457B" w:rsidRDefault="004940D6" w:rsidP="00B37972">
      <w:pPr>
        <w:autoSpaceDE w:val="0"/>
        <w:autoSpaceDN w:val="0"/>
        <w:adjustRightInd w:val="0"/>
        <w:spacing w:after="0" w:line="240" w:lineRule="auto"/>
        <w:jc w:val="both"/>
        <w:rPr>
          <w:rFonts w:ascii="Verdana" w:hAnsi="Verdana"/>
          <w:sz w:val="16"/>
          <w:szCs w:val="16"/>
        </w:rPr>
      </w:pPr>
      <w:r w:rsidRPr="00B4457B">
        <w:rPr>
          <w:rStyle w:val="Referinnotdesubsol"/>
          <w:rFonts w:ascii="Verdana" w:hAnsi="Verdana"/>
          <w:sz w:val="16"/>
          <w:szCs w:val="16"/>
        </w:rPr>
        <w:footnoteRef/>
      </w:r>
      <w:r w:rsidRPr="00B4457B">
        <w:rPr>
          <w:rFonts w:ascii="Verdana" w:hAnsi="Verdana"/>
          <w:sz w:val="16"/>
          <w:szCs w:val="16"/>
        </w:rPr>
        <w:t xml:space="preserve"> Unofficial translation provi</w:t>
      </w:r>
      <w:r w:rsidR="00B37972" w:rsidRPr="00B4457B">
        <w:rPr>
          <w:rFonts w:ascii="Verdana" w:hAnsi="Verdana"/>
          <w:sz w:val="16"/>
          <w:szCs w:val="16"/>
        </w:rPr>
        <w:t>ded by the Romanian authorities</w:t>
      </w:r>
      <w:r w:rsidR="00AD55EE" w:rsidRPr="00B4457B">
        <w:rPr>
          <w:rFonts w:ascii="Verdana" w:hAnsi="Verdana"/>
          <w:sz w:val="16"/>
          <w:szCs w:val="16"/>
        </w:rPr>
        <w:t>.</w:t>
      </w:r>
    </w:p>
  </w:footnote>
  <w:footnote w:id="23">
    <w:p w:rsidR="00A271C3" w:rsidRPr="00B4457B" w:rsidRDefault="00A271C3" w:rsidP="00B37972">
      <w:pPr>
        <w:pStyle w:val="Textnotdesubsol"/>
        <w:spacing w:after="0" w:line="240" w:lineRule="auto"/>
        <w:ind w:left="0" w:firstLine="0"/>
        <w:jc w:val="both"/>
        <w:rPr>
          <w:rFonts w:ascii="Verdana" w:hAnsi="Verdana"/>
          <w:sz w:val="16"/>
          <w:szCs w:val="16"/>
        </w:rPr>
      </w:pPr>
      <w:r w:rsidRPr="00B4457B">
        <w:rPr>
          <w:rStyle w:val="Referinnotdesubsol"/>
          <w:rFonts w:ascii="Verdana" w:hAnsi="Verdana"/>
          <w:sz w:val="16"/>
          <w:szCs w:val="16"/>
        </w:rPr>
        <w:footnoteRef/>
      </w:r>
      <w:r w:rsidR="00226E48" w:rsidRPr="00B4457B">
        <w:rPr>
          <w:rFonts w:ascii="Verdana" w:hAnsi="Verdana"/>
          <w:sz w:val="16"/>
          <w:szCs w:val="16"/>
        </w:rPr>
        <w:t xml:space="preserve"> In particular, see the CCJE Opinion No. 3 (2002) on the principles and rules governing judges’ professional conduct, in particular ethics, incompatible behaviour and impartiality, accessible via the following link:</w:t>
      </w:r>
    </w:p>
    <w:p w:rsidR="00226E48" w:rsidRPr="00B4457B" w:rsidRDefault="00E76DF5" w:rsidP="00B37972">
      <w:pPr>
        <w:pStyle w:val="Textnotdesubsol"/>
        <w:spacing w:after="0" w:line="240" w:lineRule="auto"/>
        <w:ind w:left="0" w:firstLine="0"/>
        <w:jc w:val="both"/>
        <w:rPr>
          <w:rFonts w:ascii="Verdana" w:hAnsi="Verdana"/>
          <w:sz w:val="16"/>
          <w:szCs w:val="16"/>
        </w:rPr>
      </w:pPr>
      <w:hyperlink r:id="rId10" w:history="1">
        <w:r w:rsidR="00226E48" w:rsidRPr="00B4457B">
          <w:rPr>
            <w:rStyle w:val="Hyperlink"/>
            <w:rFonts w:ascii="Verdana" w:hAnsi="Verdana"/>
            <w:sz w:val="16"/>
            <w:szCs w:val="16"/>
          </w:rPr>
          <w:t>http://wcd.coe.int/ViewDoc.jsp?Ref=CCJE(2002)OP3&amp;Sector=secDGHL&amp;Language=lanEnglish&amp;Ver=original&amp;BackColorInternet=FEF2E0&amp;BackColorIntranet=FEF2E0&amp;BackColorLogged=c3c3c3</w:t>
        </w:r>
      </w:hyperlink>
      <w:r w:rsidR="00226E48" w:rsidRPr="00B4457B">
        <w:rPr>
          <w:rFonts w:ascii="Verdana" w:hAnsi="Verdana"/>
          <w:sz w:val="16"/>
          <w:szCs w:val="16"/>
        </w:rPr>
        <w:t xml:space="preserve"> </w:t>
      </w:r>
    </w:p>
    <w:p w:rsidR="00E6237C" w:rsidRPr="00B4457B" w:rsidRDefault="00E6237C" w:rsidP="00B37972">
      <w:pPr>
        <w:pStyle w:val="Textnotdesubsol"/>
        <w:spacing w:after="0" w:line="240" w:lineRule="auto"/>
        <w:ind w:left="0" w:firstLine="0"/>
        <w:jc w:val="both"/>
        <w:rPr>
          <w:rFonts w:ascii="Verdana" w:hAnsi="Verdana"/>
          <w:bCs/>
          <w:sz w:val="16"/>
          <w:szCs w:val="16"/>
        </w:rPr>
      </w:pPr>
      <w:r w:rsidRPr="00B4457B">
        <w:rPr>
          <w:rFonts w:ascii="Verdana" w:hAnsi="Verdana"/>
          <w:bCs/>
          <w:sz w:val="16"/>
          <w:szCs w:val="16"/>
        </w:rPr>
        <w:t xml:space="preserve">Recommendation </w:t>
      </w:r>
      <w:hyperlink r:id="rId11" w:tooltip="Recommendation of the Committee of Ministers to member states on judges: independence, efficiency and responsibilities (Adopted by the Committee of Ministers on 17 November 2010 at the 1098th meeting of the Ministers' Deputies)" w:history="1">
        <w:r w:rsidRPr="00B4457B">
          <w:rPr>
            <w:rStyle w:val="Hyperlink"/>
            <w:rFonts w:ascii="Verdana" w:hAnsi="Verdana"/>
            <w:bCs/>
            <w:sz w:val="16"/>
            <w:szCs w:val="16"/>
          </w:rPr>
          <w:t>CM/Rec(2010)12</w:t>
        </w:r>
      </w:hyperlink>
      <w:r w:rsidRPr="00B4457B">
        <w:rPr>
          <w:rFonts w:ascii="Verdana" w:hAnsi="Verdana"/>
          <w:sz w:val="16"/>
          <w:szCs w:val="16"/>
        </w:rPr>
        <w:t xml:space="preserve"> </w:t>
      </w:r>
      <w:r w:rsidRPr="00B4457B">
        <w:rPr>
          <w:rFonts w:ascii="Verdana" w:hAnsi="Verdana"/>
          <w:bCs/>
          <w:sz w:val="16"/>
          <w:szCs w:val="16"/>
        </w:rPr>
        <w:t>of the Committee of Ministers to member states on judges: independence, efficiency and responsibilities, accessible via the following link:</w:t>
      </w:r>
    </w:p>
    <w:p w:rsidR="00E6237C" w:rsidRPr="00B4457B" w:rsidRDefault="00E76DF5" w:rsidP="00B37972">
      <w:pPr>
        <w:pStyle w:val="Textnotdesubsol"/>
        <w:spacing w:after="0" w:line="240" w:lineRule="auto"/>
        <w:ind w:left="0" w:firstLine="0"/>
        <w:jc w:val="both"/>
        <w:rPr>
          <w:rFonts w:ascii="Verdana" w:hAnsi="Verdana"/>
          <w:sz w:val="16"/>
          <w:szCs w:val="16"/>
        </w:rPr>
      </w:pPr>
      <w:hyperlink r:id="rId12" w:history="1">
        <w:r w:rsidR="00E6237C" w:rsidRPr="00B4457B">
          <w:rPr>
            <w:rStyle w:val="Hyperlink"/>
            <w:rFonts w:ascii="Verdana" w:hAnsi="Verdana"/>
            <w:sz w:val="16"/>
            <w:szCs w:val="16"/>
          </w:rPr>
          <w:t>https://search.coe.int/cm/Pages/result_details.aspx?ObjectId=09000016805afb78</w:t>
        </w:r>
      </w:hyperlink>
      <w:r w:rsidR="00E6237C" w:rsidRPr="00B4457B">
        <w:rPr>
          <w:rFonts w:ascii="Verdana" w:hAnsi="Verdana"/>
          <w:sz w:val="16"/>
          <w:szCs w:val="16"/>
        </w:rPr>
        <w:t xml:space="preserve"> </w:t>
      </w:r>
    </w:p>
    <w:p w:rsidR="00E6237C" w:rsidRPr="00B4457B" w:rsidRDefault="00E6237C" w:rsidP="00B37972">
      <w:pPr>
        <w:pStyle w:val="Textnotdesubsol"/>
        <w:spacing w:after="0" w:line="240" w:lineRule="auto"/>
        <w:ind w:left="0" w:firstLine="0"/>
        <w:jc w:val="both"/>
        <w:rPr>
          <w:rFonts w:ascii="Verdana" w:hAnsi="Verdana"/>
          <w:sz w:val="16"/>
          <w:szCs w:val="16"/>
        </w:rPr>
      </w:pPr>
      <w:r w:rsidRPr="00B4457B">
        <w:rPr>
          <w:rFonts w:ascii="Verdana" w:hAnsi="Verdana"/>
          <w:sz w:val="16"/>
          <w:szCs w:val="16"/>
        </w:rPr>
        <w:t>The Venice Commission’s Opinion on Amendments to Law No. 303/2004 on the Statute of Judges and Prosecutors, Law No. 304/2004 on Judicial Organization, and Law No. 317/2004 on the Superior Council for Magistracy in Romania, CDL-AD(2018)017, accessible via the following link:</w:t>
      </w:r>
    </w:p>
    <w:p w:rsidR="00226E48" w:rsidRPr="00B4457B" w:rsidRDefault="00E76DF5" w:rsidP="00B37972">
      <w:pPr>
        <w:pStyle w:val="Textnotdesubsol"/>
        <w:spacing w:after="0" w:line="240" w:lineRule="auto"/>
        <w:ind w:left="0" w:firstLine="0"/>
        <w:jc w:val="both"/>
        <w:rPr>
          <w:rFonts w:ascii="Verdana" w:hAnsi="Verdana"/>
          <w:sz w:val="16"/>
          <w:szCs w:val="16"/>
        </w:rPr>
      </w:pPr>
      <w:hyperlink r:id="rId13" w:history="1">
        <w:r w:rsidR="00E6237C" w:rsidRPr="00B4457B">
          <w:rPr>
            <w:rStyle w:val="Hyperlink"/>
            <w:rFonts w:ascii="Verdana" w:hAnsi="Verdana"/>
            <w:sz w:val="16"/>
            <w:szCs w:val="16"/>
          </w:rPr>
          <w:t>https://www.venice.coe.int/webforms/documents/?pdf=CDL-AD(2018)017-e</w:t>
        </w:r>
      </w:hyperlink>
      <w:r w:rsidR="00E6237C" w:rsidRPr="00B4457B">
        <w:rPr>
          <w:rFonts w:ascii="Verdana" w:hAnsi="Verdana"/>
          <w:sz w:val="16"/>
          <w:szCs w:val="16"/>
        </w:rPr>
        <w:t xml:space="preserve"> </w:t>
      </w:r>
    </w:p>
  </w:footnote>
  <w:footnote w:id="24">
    <w:p w:rsidR="00CC4688" w:rsidRPr="00B4457B" w:rsidRDefault="00CC4688" w:rsidP="005456CD">
      <w:pPr>
        <w:pStyle w:val="Textnotdesubsol"/>
        <w:spacing w:after="0" w:line="240" w:lineRule="auto"/>
        <w:ind w:left="0" w:firstLine="0"/>
        <w:jc w:val="both"/>
        <w:rPr>
          <w:rFonts w:ascii="Verdana" w:hAnsi="Verdana"/>
          <w:sz w:val="16"/>
          <w:szCs w:val="16"/>
        </w:rPr>
      </w:pPr>
      <w:r w:rsidRPr="00B4457B">
        <w:rPr>
          <w:rStyle w:val="Referinnotdesubsol"/>
          <w:rFonts w:ascii="Verdana" w:hAnsi="Verdana"/>
          <w:sz w:val="16"/>
          <w:szCs w:val="16"/>
        </w:rPr>
        <w:footnoteRef/>
      </w:r>
      <w:r w:rsidRPr="00B4457B">
        <w:rPr>
          <w:rFonts w:ascii="Verdana" w:hAnsi="Verdana"/>
          <w:sz w:val="16"/>
          <w:szCs w:val="16"/>
        </w:rPr>
        <w:t xml:space="preserve"> In particular, GRECO refers to the</w:t>
      </w:r>
      <w:r w:rsidR="005456CD" w:rsidRPr="00B4457B">
        <w:rPr>
          <w:rFonts w:ascii="Verdana" w:hAnsi="Verdana"/>
          <w:sz w:val="16"/>
          <w:szCs w:val="16"/>
        </w:rPr>
        <w:t xml:space="preserve"> Opinion of the European Commission for Democracy through Law CD</w:t>
      </w:r>
      <w:r w:rsidR="00A87B17" w:rsidRPr="00B4457B">
        <w:rPr>
          <w:rFonts w:ascii="Verdana" w:hAnsi="Verdana"/>
          <w:sz w:val="16"/>
          <w:szCs w:val="16"/>
        </w:rPr>
        <w:t>L</w:t>
      </w:r>
      <w:r w:rsidR="005456CD" w:rsidRPr="00B4457B">
        <w:rPr>
          <w:rFonts w:ascii="Verdana" w:hAnsi="Verdana"/>
          <w:sz w:val="16"/>
          <w:szCs w:val="16"/>
        </w:rPr>
        <w:t>-AD(2018)1</w:t>
      </w:r>
      <w:r w:rsidR="00A87B17" w:rsidRPr="00B4457B">
        <w:rPr>
          <w:rFonts w:ascii="Verdana" w:hAnsi="Verdana"/>
          <w:sz w:val="16"/>
          <w:szCs w:val="16"/>
        </w:rPr>
        <w:t>7</w:t>
      </w:r>
      <w:r w:rsidR="005456CD" w:rsidRPr="00B4457B">
        <w:rPr>
          <w:rFonts w:ascii="Verdana" w:hAnsi="Verdana"/>
          <w:sz w:val="16"/>
          <w:szCs w:val="16"/>
        </w:rPr>
        <w:t>, whereby the Commission stated that “in order to remove concerns that this new definition could block judges or prosecutors in making decisions, it would, however, be advisable to add a clause in new Article 96 stating explicitly that, in the absence of bad faith and/or gross negligence, magistrates enjoy functional immunity and are not liable for a solution which could be disputed by another court.”</w:t>
      </w:r>
    </w:p>
  </w:footnote>
  <w:footnote w:id="25">
    <w:p w:rsidR="005712C2" w:rsidRPr="00B4457B" w:rsidRDefault="005712C2" w:rsidP="00AD55EE">
      <w:pPr>
        <w:pStyle w:val="Textnotdesubsol"/>
        <w:tabs>
          <w:tab w:val="left" w:pos="567"/>
        </w:tabs>
        <w:spacing w:after="0" w:line="240" w:lineRule="auto"/>
        <w:ind w:left="0" w:firstLine="0"/>
        <w:jc w:val="both"/>
        <w:rPr>
          <w:rFonts w:ascii="Verdana" w:hAnsi="Verdana"/>
          <w:sz w:val="16"/>
          <w:szCs w:val="16"/>
        </w:rPr>
      </w:pPr>
      <w:r w:rsidRPr="00B4457B">
        <w:rPr>
          <w:rStyle w:val="Referinnotdesubsol"/>
          <w:rFonts w:ascii="Verdana" w:hAnsi="Verdana"/>
          <w:sz w:val="16"/>
          <w:szCs w:val="16"/>
        </w:rPr>
        <w:footnoteRef/>
      </w:r>
      <w:r w:rsidRPr="00B4457B">
        <w:rPr>
          <w:rFonts w:ascii="Verdana" w:hAnsi="Verdana"/>
          <w:sz w:val="16"/>
          <w:szCs w:val="16"/>
        </w:rPr>
        <w:t xml:space="preserve"> </w:t>
      </w:r>
      <w:hyperlink r:id="rId14" w:history="1">
        <w:r w:rsidRPr="00B4457B">
          <w:rPr>
            <w:rStyle w:val="Hyperlink"/>
            <w:rFonts w:ascii="Verdana" w:hAnsi="Verdana"/>
            <w:sz w:val="16"/>
            <w:szCs w:val="16"/>
          </w:rPr>
          <w:t>https://www.politico.eu/article/romanian-pm-viorica-dancila-vows-to-abandon-controversial-judicial-changes-liviu-dragnea-bucharest/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1C2A880"/>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itlu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itlu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Num11"/>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440" w:hanging="360"/>
      </w:pPr>
      <w:rPr>
        <w:b w:val="0"/>
        <w:i/>
        <w:u w:val="none"/>
      </w:rPr>
    </w:lvl>
    <w:lvl w:ilvl="2">
      <w:start w:val="1"/>
      <w:numFmt w:val="decimal"/>
      <w:lvlText w:val="%1.%2.%3"/>
      <w:lvlJc w:val="left"/>
      <w:pPr>
        <w:tabs>
          <w:tab w:val="num" w:pos="0"/>
        </w:tabs>
        <w:ind w:left="2520" w:hanging="720"/>
      </w:pPr>
      <w:rPr>
        <w:i w:val="0"/>
        <w:u w:val="none"/>
      </w:rPr>
    </w:lvl>
    <w:lvl w:ilvl="3">
      <w:start w:val="1"/>
      <w:numFmt w:val="decimal"/>
      <w:lvlText w:val="%1.%2.%3.%4"/>
      <w:lvlJc w:val="left"/>
      <w:pPr>
        <w:tabs>
          <w:tab w:val="num" w:pos="0"/>
        </w:tabs>
        <w:ind w:left="3240" w:hanging="720"/>
      </w:pPr>
      <w:rPr>
        <w:i w:val="0"/>
        <w:u w:val="none"/>
      </w:rPr>
    </w:lvl>
    <w:lvl w:ilvl="4">
      <w:start w:val="1"/>
      <w:numFmt w:val="decimal"/>
      <w:lvlText w:val="%1.%2.%3.%4.%5"/>
      <w:lvlJc w:val="left"/>
      <w:pPr>
        <w:tabs>
          <w:tab w:val="num" w:pos="0"/>
        </w:tabs>
        <w:ind w:left="4320" w:hanging="1080"/>
      </w:pPr>
      <w:rPr>
        <w:i w:val="0"/>
        <w:u w:val="none"/>
      </w:rPr>
    </w:lvl>
    <w:lvl w:ilvl="5">
      <w:start w:val="1"/>
      <w:numFmt w:val="decimal"/>
      <w:lvlText w:val="%1.%2.%3.%4.%5.%6"/>
      <w:lvlJc w:val="left"/>
      <w:pPr>
        <w:tabs>
          <w:tab w:val="num" w:pos="0"/>
        </w:tabs>
        <w:ind w:left="5040" w:hanging="1080"/>
      </w:pPr>
      <w:rPr>
        <w:i w:val="0"/>
        <w:u w:val="none"/>
      </w:rPr>
    </w:lvl>
    <w:lvl w:ilvl="6">
      <w:start w:val="1"/>
      <w:numFmt w:val="decimal"/>
      <w:lvlText w:val="%1.%2.%3.%4.%5.%6.%7"/>
      <w:lvlJc w:val="left"/>
      <w:pPr>
        <w:tabs>
          <w:tab w:val="num" w:pos="0"/>
        </w:tabs>
        <w:ind w:left="6120" w:hanging="1440"/>
      </w:pPr>
      <w:rPr>
        <w:i w:val="0"/>
        <w:u w:val="none"/>
      </w:rPr>
    </w:lvl>
    <w:lvl w:ilvl="7">
      <w:start w:val="1"/>
      <w:numFmt w:val="decimal"/>
      <w:lvlText w:val="%1.%2.%3.%4.%5.%6.%7.%8"/>
      <w:lvlJc w:val="left"/>
      <w:pPr>
        <w:tabs>
          <w:tab w:val="num" w:pos="0"/>
        </w:tabs>
        <w:ind w:left="6840" w:hanging="1440"/>
      </w:pPr>
      <w:rPr>
        <w:i w:val="0"/>
        <w:u w:val="none"/>
      </w:rPr>
    </w:lvl>
    <w:lvl w:ilvl="8">
      <w:start w:val="1"/>
      <w:numFmt w:val="decimal"/>
      <w:lvlText w:val="%1.%2.%3.%4.%5.%6.%7.%8.%9"/>
      <w:lvlJc w:val="left"/>
      <w:pPr>
        <w:tabs>
          <w:tab w:val="num" w:pos="0"/>
        </w:tabs>
        <w:ind w:left="7560" w:hanging="1440"/>
      </w:pPr>
      <w:rPr>
        <w:i w:val="0"/>
        <w:u w:val="none"/>
      </w:rPr>
    </w:lvl>
  </w:abstractNum>
  <w:abstractNum w:abstractNumId="3" w15:restartNumberingAfterBreak="0">
    <w:nsid w:val="00000003"/>
    <w:multiLevelType w:val="multilevel"/>
    <w:tmpl w:val="00000003"/>
    <w:name w:val="WWNum17"/>
    <w:lvl w:ilvl="0">
      <w:start w:val="1"/>
      <w:numFmt w:val="bullet"/>
      <w:lvlText w:val="-"/>
      <w:lvlJc w:val="left"/>
      <w:pPr>
        <w:tabs>
          <w:tab w:val="num" w:pos="0"/>
        </w:tabs>
        <w:ind w:left="720" w:hanging="360"/>
      </w:pPr>
      <w:rPr>
        <w:rFonts w:ascii="Arial Narrow" w:hAnsi="Arial Narrow"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4"/>
    <w:multiLevelType w:val="multilevel"/>
    <w:tmpl w:val="00000004"/>
    <w:name w:val="WWNum29"/>
    <w:lvl w:ilvl="0">
      <w:start w:val="1"/>
      <w:numFmt w:val="low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5"/>
    <w:multiLevelType w:val="multilevel"/>
    <w:tmpl w:val="7C3C7440"/>
    <w:lvl w:ilvl="0">
      <w:start w:val="1"/>
      <w:numFmt w:val="decimal"/>
      <w:lvlText w:val="%1."/>
      <w:lvlJc w:val="left"/>
      <w:pPr>
        <w:tabs>
          <w:tab w:val="num" w:pos="-218"/>
        </w:tabs>
        <w:ind w:left="502" w:hanging="360"/>
      </w:pPr>
      <w:rPr>
        <w:b w:val="0"/>
        <w:i w:val="0"/>
        <w:lang w:val="en-G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6"/>
    <w:multiLevelType w:val="multilevel"/>
    <w:tmpl w:val="00000006"/>
    <w:name w:val="WWNum44"/>
    <w:lvl w:ilvl="0">
      <w:start w:val="3"/>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2C236ACB"/>
    <w:multiLevelType w:val="hybridMultilevel"/>
    <w:tmpl w:val="6738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31259"/>
    <w:multiLevelType w:val="hybridMultilevel"/>
    <w:tmpl w:val="F6E074FA"/>
    <w:lvl w:ilvl="0" w:tplc="0FFEC054">
      <w:start w:val="1"/>
      <w:numFmt w:val="upperRoman"/>
      <w:lvlText w:val="%1."/>
      <w:lvlJc w:val="left"/>
      <w:pPr>
        <w:ind w:left="720" w:hanging="72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19E5748"/>
    <w:multiLevelType w:val="hybridMultilevel"/>
    <w:tmpl w:val="C02E2E14"/>
    <w:lvl w:ilvl="0" w:tplc="0BD69196">
      <w:start w:val="1"/>
      <w:numFmt w:val="decimal"/>
      <w:lvlText w:val="%1."/>
      <w:lvlJc w:val="left"/>
      <w:pPr>
        <w:tabs>
          <w:tab w:val="num" w:pos="567"/>
        </w:tabs>
        <w:ind w:left="567" w:hanging="567"/>
      </w:pPr>
      <w:rPr>
        <w:rFonts w:ascii="Verdana" w:hAnsi="Verdana" w:hint="default"/>
        <w:b w:val="0"/>
        <w:i w:val="0"/>
        <w:color w:val="auto"/>
        <w:sz w:val="20"/>
        <w:szCs w:val="20"/>
        <w:lang w:val="en-GB"/>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85C6554"/>
    <w:multiLevelType w:val="hybridMultilevel"/>
    <w:tmpl w:val="1090CA18"/>
    <w:lvl w:ilvl="0" w:tplc="5C5C8E06">
      <w:numFmt w:val="bullet"/>
      <w:lvlText w:val="-"/>
      <w:lvlJc w:val="left"/>
      <w:pPr>
        <w:ind w:left="360" w:hanging="360"/>
      </w:pPr>
      <w:rPr>
        <w:rFonts w:ascii="Verdana" w:eastAsia="Arial Unicode MS" w:hAnsi="Verdana"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C8"/>
    <w:rsid w:val="0000133C"/>
    <w:rsid w:val="00001F6F"/>
    <w:rsid w:val="0000454E"/>
    <w:rsid w:val="00027A86"/>
    <w:rsid w:val="00027BD1"/>
    <w:rsid w:val="00036996"/>
    <w:rsid w:val="00050E14"/>
    <w:rsid w:val="0005109B"/>
    <w:rsid w:val="0005471B"/>
    <w:rsid w:val="0007651E"/>
    <w:rsid w:val="00093262"/>
    <w:rsid w:val="00094AD6"/>
    <w:rsid w:val="00095E70"/>
    <w:rsid w:val="000962D0"/>
    <w:rsid w:val="0009635C"/>
    <w:rsid w:val="000A2136"/>
    <w:rsid w:val="000A30F1"/>
    <w:rsid w:val="000A32BE"/>
    <w:rsid w:val="000B268A"/>
    <w:rsid w:val="000B61D3"/>
    <w:rsid w:val="000C0280"/>
    <w:rsid w:val="000C2629"/>
    <w:rsid w:val="000C27B5"/>
    <w:rsid w:val="000C539F"/>
    <w:rsid w:val="000D5F3C"/>
    <w:rsid w:val="000E2531"/>
    <w:rsid w:val="000E4998"/>
    <w:rsid w:val="000F5DD1"/>
    <w:rsid w:val="00100C01"/>
    <w:rsid w:val="00102E4C"/>
    <w:rsid w:val="00110804"/>
    <w:rsid w:val="00112F06"/>
    <w:rsid w:val="00114036"/>
    <w:rsid w:val="00117109"/>
    <w:rsid w:val="001209B2"/>
    <w:rsid w:val="0012765C"/>
    <w:rsid w:val="0013617A"/>
    <w:rsid w:val="001440FD"/>
    <w:rsid w:val="00153DDE"/>
    <w:rsid w:val="00156EB3"/>
    <w:rsid w:val="00160956"/>
    <w:rsid w:val="00163947"/>
    <w:rsid w:val="0016696E"/>
    <w:rsid w:val="00173E8B"/>
    <w:rsid w:val="0017573A"/>
    <w:rsid w:val="00177CF9"/>
    <w:rsid w:val="00181BB0"/>
    <w:rsid w:val="001844A7"/>
    <w:rsid w:val="00193E65"/>
    <w:rsid w:val="00193F54"/>
    <w:rsid w:val="00196E9C"/>
    <w:rsid w:val="001A28E4"/>
    <w:rsid w:val="001A7539"/>
    <w:rsid w:val="001C4993"/>
    <w:rsid w:val="001D0B20"/>
    <w:rsid w:val="001D278A"/>
    <w:rsid w:val="001E1CF8"/>
    <w:rsid w:val="001F4E34"/>
    <w:rsid w:val="0020175B"/>
    <w:rsid w:val="00215CB5"/>
    <w:rsid w:val="00220D6C"/>
    <w:rsid w:val="0022245C"/>
    <w:rsid w:val="00223BA0"/>
    <w:rsid w:val="002253BB"/>
    <w:rsid w:val="00226E48"/>
    <w:rsid w:val="00230416"/>
    <w:rsid w:val="00230948"/>
    <w:rsid w:val="00231EF4"/>
    <w:rsid w:val="00237719"/>
    <w:rsid w:val="002461D6"/>
    <w:rsid w:val="002505CF"/>
    <w:rsid w:val="00251833"/>
    <w:rsid w:val="002533C1"/>
    <w:rsid w:val="00253F8A"/>
    <w:rsid w:val="002542A9"/>
    <w:rsid w:val="00254609"/>
    <w:rsid w:val="00257A52"/>
    <w:rsid w:val="00265121"/>
    <w:rsid w:val="002666EB"/>
    <w:rsid w:val="00267B15"/>
    <w:rsid w:val="002755BC"/>
    <w:rsid w:val="00277508"/>
    <w:rsid w:val="002831AD"/>
    <w:rsid w:val="0028325D"/>
    <w:rsid w:val="0029032B"/>
    <w:rsid w:val="002A07F2"/>
    <w:rsid w:val="002A4BF9"/>
    <w:rsid w:val="002A6EE8"/>
    <w:rsid w:val="002B3E4F"/>
    <w:rsid w:val="002E25A8"/>
    <w:rsid w:val="002F58E0"/>
    <w:rsid w:val="002F6505"/>
    <w:rsid w:val="003042B2"/>
    <w:rsid w:val="00315490"/>
    <w:rsid w:val="00316064"/>
    <w:rsid w:val="003173B3"/>
    <w:rsid w:val="00320287"/>
    <w:rsid w:val="00320701"/>
    <w:rsid w:val="00322DA0"/>
    <w:rsid w:val="00323E53"/>
    <w:rsid w:val="00335BF9"/>
    <w:rsid w:val="003360A4"/>
    <w:rsid w:val="00344D02"/>
    <w:rsid w:val="0035378A"/>
    <w:rsid w:val="003623B6"/>
    <w:rsid w:val="00363BEA"/>
    <w:rsid w:val="003719A8"/>
    <w:rsid w:val="00375BCA"/>
    <w:rsid w:val="0038249E"/>
    <w:rsid w:val="00387568"/>
    <w:rsid w:val="003A10A8"/>
    <w:rsid w:val="003C0189"/>
    <w:rsid w:val="003C13B7"/>
    <w:rsid w:val="003C6867"/>
    <w:rsid w:val="003D547C"/>
    <w:rsid w:val="003D732B"/>
    <w:rsid w:val="003E1F58"/>
    <w:rsid w:val="003F09B3"/>
    <w:rsid w:val="003F67AC"/>
    <w:rsid w:val="003F75E0"/>
    <w:rsid w:val="00400777"/>
    <w:rsid w:val="00401501"/>
    <w:rsid w:val="004015F1"/>
    <w:rsid w:val="0040169F"/>
    <w:rsid w:val="0040173A"/>
    <w:rsid w:val="0041376B"/>
    <w:rsid w:val="004163CC"/>
    <w:rsid w:val="00416F65"/>
    <w:rsid w:val="00417681"/>
    <w:rsid w:val="00432A4E"/>
    <w:rsid w:val="0043469C"/>
    <w:rsid w:val="004545D9"/>
    <w:rsid w:val="004547C9"/>
    <w:rsid w:val="00454EED"/>
    <w:rsid w:val="00462071"/>
    <w:rsid w:val="004715DE"/>
    <w:rsid w:val="004740A1"/>
    <w:rsid w:val="00482B09"/>
    <w:rsid w:val="00493064"/>
    <w:rsid w:val="004940D6"/>
    <w:rsid w:val="004955B2"/>
    <w:rsid w:val="004A05D9"/>
    <w:rsid w:val="004A0978"/>
    <w:rsid w:val="004A260D"/>
    <w:rsid w:val="004A5B7C"/>
    <w:rsid w:val="004B2CA6"/>
    <w:rsid w:val="004B4496"/>
    <w:rsid w:val="004C097B"/>
    <w:rsid w:val="004C492C"/>
    <w:rsid w:val="004D1120"/>
    <w:rsid w:val="004D4480"/>
    <w:rsid w:val="004D59C4"/>
    <w:rsid w:val="004D69CC"/>
    <w:rsid w:val="004E0E64"/>
    <w:rsid w:val="004E3E62"/>
    <w:rsid w:val="004E3F5B"/>
    <w:rsid w:val="004F4383"/>
    <w:rsid w:val="004F4BD5"/>
    <w:rsid w:val="004F68D2"/>
    <w:rsid w:val="00501AC5"/>
    <w:rsid w:val="00504084"/>
    <w:rsid w:val="005049E6"/>
    <w:rsid w:val="00504BC1"/>
    <w:rsid w:val="00507C54"/>
    <w:rsid w:val="00507CC5"/>
    <w:rsid w:val="00510866"/>
    <w:rsid w:val="00516CE2"/>
    <w:rsid w:val="00520F27"/>
    <w:rsid w:val="00526AAE"/>
    <w:rsid w:val="00537C13"/>
    <w:rsid w:val="005401D7"/>
    <w:rsid w:val="0054165E"/>
    <w:rsid w:val="00541AED"/>
    <w:rsid w:val="005456CD"/>
    <w:rsid w:val="005502F0"/>
    <w:rsid w:val="005530AD"/>
    <w:rsid w:val="00554E3B"/>
    <w:rsid w:val="005712C2"/>
    <w:rsid w:val="00573E12"/>
    <w:rsid w:val="00574A35"/>
    <w:rsid w:val="00576EAB"/>
    <w:rsid w:val="00580DDD"/>
    <w:rsid w:val="00580E59"/>
    <w:rsid w:val="00584AFE"/>
    <w:rsid w:val="00592D23"/>
    <w:rsid w:val="00592E35"/>
    <w:rsid w:val="0059572A"/>
    <w:rsid w:val="005A229C"/>
    <w:rsid w:val="005C1E24"/>
    <w:rsid w:val="005C6BFA"/>
    <w:rsid w:val="005C7A5A"/>
    <w:rsid w:val="005C7D1A"/>
    <w:rsid w:val="005C7E5F"/>
    <w:rsid w:val="005D2244"/>
    <w:rsid w:val="005D2443"/>
    <w:rsid w:val="005D25BB"/>
    <w:rsid w:val="005D2B7B"/>
    <w:rsid w:val="005D56E8"/>
    <w:rsid w:val="005D6870"/>
    <w:rsid w:val="005E318D"/>
    <w:rsid w:val="005E4E36"/>
    <w:rsid w:val="005E54F0"/>
    <w:rsid w:val="005E6043"/>
    <w:rsid w:val="005E6055"/>
    <w:rsid w:val="005E6B3E"/>
    <w:rsid w:val="005E6C67"/>
    <w:rsid w:val="005F1C96"/>
    <w:rsid w:val="005F673B"/>
    <w:rsid w:val="006063A5"/>
    <w:rsid w:val="00620E78"/>
    <w:rsid w:val="00622C8F"/>
    <w:rsid w:val="00624338"/>
    <w:rsid w:val="0062615F"/>
    <w:rsid w:val="00626741"/>
    <w:rsid w:val="0063204B"/>
    <w:rsid w:val="0063293B"/>
    <w:rsid w:val="0064519F"/>
    <w:rsid w:val="00645B87"/>
    <w:rsid w:val="00651D59"/>
    <w:rsid w:val="00656C16"/>
    <w:rsid w:val="00660749"/>
    <w:rsid w:val="00663891"/>
    <w:rsid w:val="006668B8"/>
    <w:rsid w:val="006713B4"/>
    <w:rsid w:val="00672B3D"/>
    <w:rsid w:val="00680638"/>
    <w:rsid w:val="0068270A"/>
    <w:rsid w:val="006829CC"/>
    <w:rsid w:val="00691368"/>
    <w:rsid w:val="006918B0"/>
    <w:rsid w:val="00696190"/>
    <w:rsid w:val="006A4A6F"/>
    <w:rsid w:val="006A5971"/>
    <w:rsid w:val="006A786A"/>
    <w:rsid w:val="006B5098"/>
    <w:rsid w:val="006C303A"/>
    <w:rsid w:val="006C3549"/>
    <w:rsid w:val="006C58CB"/>
    <w:rsid w:val="006C671E"/>
    <w:rsid w:val="006C73D4"/>
    <w:rsid w:val="006C7631"/>
    <w:rsid w:val="006D7550"/>
    <w:rsid w:val="006E19AE"/>
    <w:rsid w:val="006E60F9"/>
    <w:rsid w:val="006E7D14"/>
    <w:rsid w:val="006F58B5"/>
    <w:rsid w:val="006F5B84"/>
    <w:rsid w:val="007047FD"/>
    <w:rsid w:val="00705B03"/>
    <w:rsid w:val="00712A1D"/>
    <w:rsid w:val="00723B5A"/>
    <w:rsid w:val="00725ED6"/>
    <w:rsid w:val="00735F98"/>
    <w:rsid w:val="00741F38"/>
    <w:rsid w:val="007424A5"/>
    <w:rsid w:val="00744032"/>
    <w:rsid w:val="0074745E"/>
    <w:rsid w:val="007521D5"/>
    <w:rsid w:val="007531A7"/>
    <w:rsid w:val="00754D89"/>
    <w:rsid w:val="00763C94"/>
    <w:rsid w:val="0076646C"/>
    <w:rsid w:val="007752F2"/>
    <w:rsid w:val="00776970"/>
    <w:rsid w:val="007925A6"/>
    <w:rsid w:val="007A2F21"/>
    <w:rsid w:val="007B0E46"/>
    <w:rsid w:val="007B32EA"/>
    <w:rsid w:val="007B4794"/>
    <w:rsid w:val="007B4810"/>
    <w:rsid w:val="007C334C"/>
    <w:rsid w:val="007D3F01"/>
    <w:rsid w:val="007D544A"/>
    <w:rsid w:val="007D598F"/>
    <w:rsid w:val="007D6214"/>
    <w:rsid w:val="007E604D"/>
    <w:rsid w:val="007F04A7"/>
    <w:rsid w:val="007F10DE"/>
    <w:rsid w:val="007F3A00"/>
    <w:rsid w:val="007F7A4E"/>
    <w:rsid w:val="00800F48"/>
    <w:rsid w:val="00801B13"/>
    <w:rsid w:val="0081153A"/>
    <w:rsid w:val="0081251D"/>
    <w:rsid w:val="00815888"/>
    <w:rsid w:val="0082436F"/>
    <w:rsid w:val="008256CE"/>
    <w:rsid w:val="008446DE"/>
    <w:rsid w:val="008473F8"/>
    <w:rsid w:val="00853A52"/>
    <w:rsid w:val="00872995"/>
    <w:rsid w:val="00872C7F"/>
    <w:rsid w:val="008856AF"/>
    <w:rsid w:val="00891785"/>
    <w:rsid w:val="008A1E13"/>
    <w:rsid w:val="008B1132"/>
    <w:rsid w:val="008C5562"/>
    <w:rsid w:val="008C5827"/>
    <w:rsid w:val="008C62D4"/>
    <w:rsid w:val="008C7C39"/>
    <w:rsid w:val="008D50E2"/>
    <w:rsid w:val="008D55AA"/>
    <w:rsid w:val="00900EDB"/>
    <w:rsid w:val="0090193A"/>
    <w:rsid w:val="0090375A"/>
    <w:rsid w:val="00920C9B"/>
    <w:rsid w:val="009253E5"/>
    <w:rsid w:val="00935D3C"/>
    <w:rsid w:val="0093612E"/>
    <w:rsid w:val="00943A7A"/>
    <w:rsid w:val="00946203"/>
    <w:rsid w:val="00946D2A"/>
    <w:rsid w:val="00946EDA"/>
    <w:rsid w:val="00953B56"/>
    <w:rsid w:val="009560CB"/>
    <w:rsid w:val="00963275"/>
    <w:rsid w:val="0096357A"/>
    <w:rsid w:val="00965BE4"/>
    <w:rsid w:val="00970E03"/>
    <w:rsid w:val="0097214D"/>
    <w:rsid w:val="0097573E"/>
    <w:rsid w:val="0098041C"/>
    <w:rsid w:val="00981EB4"/>
    <w:rsid w:val="00984C74"/>
    <w:rsid w:val="00985417"/>
    <w:rsid w:val="0098765D"/>
    <w:rsid w:val="00990FF8"/>
    <w:rsid w:val="00997699"/>
    <w:rsid w:val="009A3C78"/>
    <w:rsid w:val="009B2E41"/>
    <w:rsid w:val="009D76C6"/>
    <w:rsid w:val="009E4753"/>
    <w:rsid w:val="009E5B75"/>
    <w:rsid w:val="009F0052"/>
    <w:rsid w:val="009F0856"/>
    <w:rsid w:val="009F370D"/>
    <w:rsid w:val="009F5DB6"/>
    <w:rsid w:val="00A00C79"/>
    <w:rsid w:val="00A11609"/>
    <w:rsid w:val="00A14399"/>
    <w:rsid w:val="00A146A3"/>
    <w:rsid w:val="00A22041"/>
    <w:rsid w:val="00A26601"/>
    <w:rsid w:val="00A271C3"/>
    <w:rsid w:val="00A35482"/>
    <w:rsid w:val="00A465B8"/>
    <w:rsid w:val="00A54EBF"/>
    <w:rsid w:val="00A56259"/>
    <w:rsid w:val="00A57905"/>
    <w:rsid w:val="00A65467"/>
    <w:rsid w:val="00A665EF"/>
    <w:rsid w:val="00A6748D"/>
    <w:rsid w:val="00A7091B"/>
    <w:rsid w:val="00A7100D"/>
    <w:rsid w:val="00A71BC3"/>
    <w:rsid w:val="00A740A4"/>
    <w:rsid w:val="00A74EF2"/>
    <w:rsid w:val="00A77442"/>
    <w:rsid w:val="00A81A81"/>
    <w:rsid w:val="00A87461"/>
    <w:rsid w:val="00A87B17"/>
    <w:rsid w:val="00A935EF"/>
    <w:rsid w:val="00AA3464"/>
    <w:rsid w:val="00AA7B9C"/>
    <w:rsid w:val="00AB109C"/>
    <w:rsid w:val="00AB1709"/>
    <w:rsid w:val="00AB37E8"/>
    <w:rsid w:val="00AB5BF3"/>
    <w:rsid w:val="00AC004C"/>
    <w:rsid w:val="00AC3BC5"/>
    <w:rsid w:val="00AD55EE"/>
    <w:rsid w:val="00AD5F06"/>
    <w:rsid w:val="00AD60C0"/>
    <w:rsid w:val="00AE4BDF"/>
    <w:rsid w:val="00AE6CD4"/>
    <w:rsid w:val="00AE6D05"/>
    <w:rsid w:val="00AF3A57"/>
    <w:rsid w:val="00AF4013"/>
    <w:rsid w:val="00AF4098"/>
    <w:rsid w:val="00AF5DEA"/>
    <w:rsid w:val="00B0125B"/>
    <w:rsid w:val="00B06C4D"/>
    <w:rsid w:val="00B07008"/>
    <w:rsid w:val="00B17411"/>
    <w:rsid w:val="00B248A0"/>
    <w:rsid w:val="00B255AB"/>
    <w:rsid w:val="00B31EBF"/>
    <w:rsid w:val="00B37972"/>
    <w:rsid w:val="00B41DDA"/>
    <w:rsid w:val="00B42438"/>
    <w:rsid w:val="00B43A63"/>
    <w:rsid w:val="00B4457B"/>
    <w:rsid w:val="00B50370"/>
    <w:rsid w:val="00B5104C"/>
    <w:rsid w:val="00B514F8"/>
    <w:rsid w:val="00B52F7D"/>
    <w:rsid w:val="00B53467"/>
    <w:rsid w:val="00B56C46"/>
    <w:rsid w:val="00B64938"/>
    <w:rsid w:val="00B67C71"/>
    <w:rsid w:val="00B76CFB"/>
    <w:rsid w:val="00B81F34"/>
    <w:rsid w:val="00B824C3"/>
    <w:rsid w:val="00B826E2"/>
    <w:rsid w:val="00B850DC"/>
    <w:rsid w:val="00B8519F"/>
    <w:rsid w:val="00BA3533"/>
    <w:rsid w:val="00BA5A85"/>
    <w:rsid w:val="00BB1756"/>
    <w:rsid w:val="00BB4CC8"/>
    <w:rsid w:val="00BC63DA"/>
    <w:rsid w:val="00BD003F"/>
    <w:rsid w:val="00BD08B2"/>
    <w:rsid w:val="00BD23C7"/>
    <w:rsid w:val="00BE097C"/>
    <w:rsid w:val="00BE3F57"/>
    <w:rsid w:val="00BE460B"/>
    <w:rsid w:val="00BE4690"/>
    <w:rsid w:val="00BE51E6"/>
    <w:rsid w:val="00BE7E96"/>
    <w:rsid w:val="00C02618"/>
    <w:rsid w:val="00C0356D"/>
    <w:rsid w:val="00C129C3"/>
    <w:rsid w:val="00C17604"/>
    <w:rsid w:val="00C21894"/>
    <w:rsid w:val="00C26155"/>
    <w:rsid w:val="00C27C1F"/>
    <w:rsid w:val="00C30351"/>
    <w:rsid w:val="00C30A49"/>
    <w:rsid w:val="00C34EA8"/>
    <w:rsid w:val="00C408D6"/>
    <w:rsid w:val="00C5391A"/>
    <w:rsid w:val="00C6531F"/>
    <w:rsid w:val="00C74684"/>
    <w:rsid w:val="00C774EA"/>
    <w:rsid w:val="00C77547"/>
    <w:rsid w:val="00C81EC7"/>
    <w:rsid w:val="00C86B47"/>
    <w:rsid w:val="00C91FAE"/>
    <w:rsid w:val="00CB02CF"/>
    <w:rsid w:val="00CB5F98"/>
    <w:rsid w:val="00CB6776"/>
    <w:rsid w:val="00CC0E70"/>
    <w:rsid w:val="00CC4688"/>
    <w:rsid w:val="00CD3432"/>
    <w:rsid w:val="00CD43EF"/>
    <w:rsid w:val="00CF1251"/>
    <w:rsid w:val="00CF66E3"/>
    <w:rsid w:val="00D00194"/>
    <w:rsid w:val="00D061A9"/>
    <w:rsid w:val="00D06903"/>
    <w:rsid w:val="00D116CA"/>
    <w:rsid w:val="00D12937"/>
    <w:rsid w:val="00D16355"/>
    <w:rsid w:val="00D16470"/>
    <w:rsid w:val="00D250A0"/>
    <w:rsid w:val="00D30C0C"/>
    <w:rsid w:val="00D323A4"/>
    <w:rsid w:val="00D33504"/>
    <w:rsid w:val="00D36712"/>
    <w:rsid w:val="00D428CB"/>
    <w:rsid w:val="00D520D3"/>
    <w:rsid w:val="00D53CA6"/>
    <w:rsid w:val="00D54D80"/>
    <w:rsid w:val="00D66012"/>
    <w:rsid w:val="00D66B7D"/>
    <w:rsid w:val="00D72427"/>
    <w:rsid w:val="00D765D8"/>
    <w:rsid w:val="00D808A6"/>
    <w:rsid w:val="00D93349"/>
    <w:rsid w:val="00D94978"/>
    <w:rsid w:val="00D953C6"/>
    <w:rsid w:val="00D968A7"/>
    <w:rsid w:val="00DA2A0F"/>
    <w:rsid w:val="00DC0182"/>
    <w:rsid w:val="00DC3B96"/>
    <w:rsid w:val="00DC4E48"/>
    <w:rsid w:val="00DE2739"/>
    <w:rsid w:val="00DE5872"/>
    <w:rsid w:val="00DE7828"/>
    <w:rsid w:val="00DE7E36"/>
    <w:rsid w:val="00DF570B"/>
    <w:rsid w:val="00DF5CFE"/>
    <w:rsid w:val="00DF7830"/>
    <w:rsid w:val="00DF7EC7"/>
    <w:rsid w:val="00E00136"/>
    <w:rsid w:val="00E02619"/>
    <w:rsid w:val="00E0308C"/>
    <w:rsid w:val="00E03221"/>
    <w:rsid w:val="00E04A6B"/>
    <w:rsid w:val="00E304A3"/>
    <w:rsid w:val="00E34B52"/>
    <w:rsid w:val="00E3650B"/>
    <w:rsid w:val="00E37431"/>
    <w:rsid w:val="00E41EB3"/>
    <w:rsid w:val="00E45523"/>
    <w:rsid w:val="00E46352"/>
    <w:rsid w:val="00E46554"/>
    <w:rsid w:val="00E5015A"/>
    <w:rsid w:val="00E567A9"/>
    <w:rsid w:val="00E6237C"/>
    <w:rsid w:val="00E7376A"/>
    <w:rsid w:val="00E73F0E"/>
    <w:rsid w:val="00E76DF5"/>
    <w:rsid w:val="00E81FCB"/>
    <w:rsid w:val="00E875A8"/>
    <w:rsid w:val="00EA0848"/>
    <w:rsid w:val="00EB04B0"/>
    <w:rsid w:val="00EB2FA8"/>
    <w:rsid w:val="00EC093E"/>
    <w:rsid w:val="00EC1C1D"/>
    <w:rsid w:val="00EC69AF"/>
    <w:rsid w:val="00EC7CE3"/>
    <w:rsid w:val="00ED0A91"/>
    <w:rsid w:val="00ED5504"/>
    <w:rsid w:val="00EE02DD"/>
    <w:rsid w:val="00EE418F"/>
    <w:rsid w:val="00EE4423"/>
    <w:rsid w:val="00EF6AFA"/>
    <w:rsid w:val="00F00D0A"/>
    <w:rsid w:val="00F06800"/>
    <w:rsid w:val="00F10660"/>
    <w:rsid w:val="00F14209"/>
    <w:rsid w:val="00F206D2"/>
    <w:rsid w:val="00F21C7D"/>
    <w:rsid w:val="00F271D8"/>
    <w:rsid w:val="00F32698"/>
    <w:rsid w:val="00F337A4"/>
    <w:rsid w:val="00F37101"/>
    <w:rsid w:val="00F44219"/>
    <w:rsid w:val="00F4430A"/>
    <w:rsid w:val="00F44C67"/>
    <w:rsid w:val="00F45231"/>
    <w:rsid w:val="00F47DE5"/>
    <w:rsid w:val="00F513BE"/>
    <w:rsid w:val="00F53757"/>
    <w:rsid w:val="00F55C0E"/>
    <w:rsid w:val="00F560AA"/>
    <w:rsid w:val="00F5743A"/>
    <w:rsid w:val="00F63E4A"/>
    <w:rsid w:val="00F76E2F"/>
    <w:rsid w:val="00F8230B"/>
    <w:rsid w:val="00F83579"/>
    <w:rsid w:val="00F929A3"/>
    <w:rsid w:val="00FB36CC"/>
    <w:rsid w:val="00FB718B"/>
    <w:rsid w:val="00FC11CF"/>
    <w:rsid w:val="00FC61FF"/>
    <w:rsid w:val="00FD1755"/>
    <w:rsid w:val="00FD56DF"/>
    <w:rsid w:val="00FE043E"/>
    <w:rsid w:val="00FF386C"/>
    <w:rsid w:val="00FF621A"/>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E7CC9CA-5FDA-42F1-A342-2BC11734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Arial Unicode MS" w:hAnsi="Calibri" w:cs="Calibri"/>
      <w:sz w:val="22"/>
      <w:szCs w:val="22"/>
      <w:lang w:val="en-GB" w:eastAsia="ar-SA"/>
    </w:rPr>
  </w:style>
  <w:style w:type="paragraph" w:styleId="Titlu1">
    <w:name w:val="heading 1"/>
    <w:basedOn w:val="Normal"/>
    <w:next w:val="Corptext"/>
    <w:qFormat/>
    <w:pPr>
      <w:keepNext/>
      <w:numPr>
        <w:numId w:val="1"/>
      </w:numPr>
      <w:spacing w:after="0" w:line="100" w:lineRule="atLeast"/>
      <w:jc w:val="center"/>
      <w:outlineLvl w:val="0"/>
    </w:pPr>
    <w:rPr>
      <w:rFonts w:ascii="Times New Roman" w:eastAsia="Times New Roman" w:hAnsi="Times New Roman" w:cs="Times New Roman"/>
      <w:b/>
      <w:bCs/>
      <w:sz w:val="24"/>
      <w:szCs w:val="24"/>
    </w:rPr>
  </w:style>
  <w:style w:type="paragraph" w:styleId="Titlu2">
    <w:name w:val="heading 2"/>
    <w:basedOn w:val="Normal"/>
    <w:next w:val="Normal"/>
    <w:link w:val="Titlu2Caracter"/>
    <w:uiPriority w:val="9"/>
    <w:semiHidden/>
    <w:unhideWhenUsed/>
    <w:qFormat/>
    <w:rsid w:val="00363B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7">
    <w:name w:val="heading 7"/>
    <w:basedOn w:val="Normal"/>
    <w:next w:val="Corptext"/>
    <w:qFormat/>
    <w:pPr>
      <w:keepNext/>
      <w:numPr>
        <w:ilvl w:val="6"/>
        <w:numId w:val="1"/>
      </w:numPr>
      <w:tabs>
        <w:tab w:val="left" w:pos="5472"/>
        <w:tab w:val="right" w:pos="9072"/>
      </w:tabs>
      <w:spacing w:after="0" w:line="100" w:lineRule="atLeast"/>
      <w:jc w:val="right"/>
      <w:outlineLvl w:val="6"/>
    </w:pPr>
    <w:rPr>
      <w:rFonts w:ascii="Verdana" w:eastAsia="Times New Roman" w:hAnsi="Verdana" w:cs="Times New Roman"/>
      <w:b/>
      <w:bCs/>
      <w:sz w:val="18"/>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Pr>
      <w:color w:val="0000FF"/>
      <w:u w:val="single"/>
    </w:rPr>
  </w:style>
  <w:style w:type="character" w:styleId="Robust">
    <w:name w:val="Strong"/>
    <w:qFormat/>
    <w:rPr>
      <w:b/>
      <w:bCs/>
    </w:rPr>
  </w:style>
  <w:style w:type="character" w:styleId="Accentuat">
    <w:name w:val="Emphasis"/>
    <w:qFormat/>
    <w:rPr>
      <w:i/>
      <w:iCs/>
    </w:rPr>
  </w:style>
  <w:style w:type="character" w:customStyle="1" w:styleId="docref1">
    <w:name w:val="docref1"/>
    <w:rPr>
      <w:b/>
      <w:bCs/>
    </w:rPr>
  </w:style>
  <w:style w:type="character" w:customStyle="1" w:styleId="gray1">
    <w:name w:val="gray1"/>
    <w:rPr>
      <w:color w:val="808080"/>
      <w:sz w:val="14"/>
      <w:szCs w:val="14"/>
    </w:rPr>
  </w:style>
  <w:style w:type="character" w:customStyle="1" w:styleId="BalloonTextChar">
    <w:name w:val="Balloon Text Char"/>
    <w:rPr>
      <w:rFonts w:ascii="Tahoma" w:hAnsi="Tahoma" w:cs="Tahoma"/>
      <w:sz w:val="16"/>
      <w:szCs w:val="16"/>
    </w:rPr>
  </w:style>
  <w:style w:type="character" w:customStyle="1" w:styleId="FootnoteTextChar">
    <w:name w:val="Footnote Text Char"/>
    <w:uiPriority w:val="99"/>
    <w:rPr>
      <w:sz w:val="20"/>
      <w:szCs w:val="20"/>
    </w:rPr>
  </w:style>
  <w:style w:type="character" w:customStyle="1" w:styleId="FootnoteReference1">
    <w:name w:val="Footnote Reference1"/>
    <w:rPr>
      <w:vertAlign w:val="superscript"/>
    </w:rPr>
  </w:style>
  <w:style w:type="character" w:styleId="HyperlinkParcurs">
    <w:name w:val="FollowedHyperlink"/>
    <w:rPr>
      <w:color w:val="800080"/>
      <w:u w:val="single"/>
    </w:rPr>
  </w:style>
  <w:style w:type="character" w:customStyle="1" w:styleId="enum-style">
    <w:name w:val="enum-style"/>
    <w:basedOn w:val="Fontdeparagrafimplicit"/>
  </w:style>
  <w:style w:type="character" w:customStyle="1" w:styleId="highlight">
    <w:name w:val="highlight"/>
    <w:basedOn w:val="Fontdeparagrafimplicit"/>
  </w:style>
  <w:style w:type="character" w:customStyle="1" w:styleId="st1">
    <w:name w:val="st1"/>
    <w:basedOn w:val="Fontdeparagrafimplicit"/>
  </w:style>
  <w:style w:type="character" w:customStyle="1" w:styleId="HeaderChar">
    <w:name w:val="Header Char"/>
    <w:basedOn w:val="Fontdeparagrafimplicit"/>
  </w:style>
  <w:style w:type="character" w:customStyle="1" w:styleId="FooterChar">
    <w:name w:val="Footer Char"/>
    <w:basedOn w:val="Fontdeparagrafimplicit"/>
    <w:uiPriority w:val="99"/>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TitleChar">
    <w:name w:val="Title Char"/>
    <w:rPr>
      <w:rFonts w:ascii="Cambria" w:eastAsia="Times New Roman" w:hAnsi="Cambria" w:cs="Times New Roman"/>
      <w:color w:val="17365D"/>
      <w:spacing w:val="5"/>
      <w:kern w:val="1"/>
      <w:sz w:val="52"/>
      <w:szCs w:val="52"/>
      <w:lang w:val="en-US"/>
    </w:rPr>
  </w:style>
  <w:style w:type="character" w:customStyle="1" w:styleId="Heading1Char">
    <w:name w:val="Heading 1 Char"/>
    <w:rPr>
      <w:rFonts w:ascii="Times New Roman" w:eastAsia="Times New Roman" w:hAnsi="Times New Roman" w:cs="Times New Roman"/>
      <w:b/>
      <w:bCs/>
      <w:sz w:val="24"/>
      <w:szCs w:val="24"/>
    </w:rPr>
  </w:style>
  <w:style w:type="character" w:customStyle="1" w:styleId="Heading7Char">
    <w:name w:val="Heading 7 Char"/>
    <w:rPr>
      <w:rFonts w:ascii="Verdana" w:eastAsia="Times New Roman" w:hAnsi="Verdana" w:cs="Times New Roman"/>
      <w:b/>
      <w:bCs/>
      <w:sz w:val="18"/>
      <w:szCs w:val="24"/>
    </w:rPr>
  </w:style>
  <w:style w:type="character" w:customStyle="1" w:styleId="ListLabel1">
    <w:name w:val="ListLabel 1"/>
    <w:rPr>
      <w:sz w:val="20"/>
    </w:rPr>
  </w:style>
  <w:style w:type="character" w:customStyle="1" w:styleId="ListLabel2">
    <w:name w:val="ListLabel 2"/>
    <w:rPr>
      <w:rFonts w:cs="Courier New"/>
    </w:rPr>
  </w:style>
  <w:style w:type="character" w:customStyle="1" w:styleId="ListLabel3">
    <w:name w:val="ListLabel 3"/>
    <w:rPr>
      <w:rFonts w:cs="Calibri"/>
      <w:color w:val="00000A"/>
      <w:sz w:val="22"/>
    </w:rPr>
  </w:style>
  <w:style w:type="character" w:customStyle="1" w:styleId="ListLabel4">
    <w:name w:val="ListLabel 4"/>
    <w:rPr>
      <w:b/>
    </w:rPr>
  </w:style>
  <w:style w:type="character" w:customStyle="1" w:styleId="ListLabel5">
    <w:name w:val="ListLabel 5"/>
    <w:rPr>
      <w:b w:val="0"/>
      <w:i/>
      <w:u w:val="none"/>
    </w:rPr>
  </w:style>
  <w:style w:type="character" w:customStyle="1" w:styleId="ListLabel6">
    <w:name w:val="ListLabel 6"/>
    <w:rPr>
      <w:i w:val="0"/>
      <w:u w:val="none"/>
    </w:rPr>
  </w:style>
  <w:style w:type="character" w:customStyle="1" w:styleId="ListLabel7">
    <w:name w:val="ListLabel 7"/>
    <w:rPr>
      <w:b/>
      <w:i w:val="0"/>
    </w:rPr>
  </w:style>
  <w:style w:type="character" w:customStyle="1" w:styleId="ListLabel8">
    <w:name w:val="ListLabel 8"/>
    <w:rPr>
      <w:i w:val="0"/>
    </w:rPr>
  </w:style>
  <w:style w:type="character" w:customStyle="1" w:styleId="ListLabel9">
    <w:name w:val="ListLabel 9"/>
    <w:rPr>
      <w:rFonts w:cs="Calibri"/>
    </w:rPr>
  </w:style>
  <w:style w:type="character" w:customStyle="1" w:styleId="ListLabel10">
    <w:name w:val="ListLabel 10"/>
    <w:rPr>
      <w:rFonts w:cs="Times New Roman"/>
      <w:b w:val="0"/>
      <w:i w:val="0"/>
      <w:color w:val="00000A"/>
      <w:sz w:val="24"/>
      <w:lang w:val="en-US"/>
    </w:rPr>
  </w:style>
  <w:style w:type="character" w:customStyle="1" w:styleId="ListLabel11">
    <w:name w:val="ListLabel 11"/>
    <w:rPr>
      <w:rFonts w:cs="Times New Roman"/>
    </w:rPr>
  </w:style>
  <w:style w:type="character" w:customStyle="1" w:styleId="ListLabel12">
    <w:name w:val="ListLabel 12"/>
    <w:rPr>
      <w:rFonts w:cs="Times New Roman"/>
      <w:b/>
      <w:i w:val="0"/>
      <w:color w:val="00000A"/>
      <w:sz w:val="24"/>
    </w:rPr>
  </w:style>
  <w:style w:type="character" w:customStyle="1" w:styleId="ListLabel13">
    <w:name w:val="ListLabel 13"/>
    <w:rPr>
      <w:rFonts w:eastAsia="Times New Roman" w:cs="Arial"/>
    </w:rPr>
  </w:style>
  <w:style w:type="character" w:customStyle="1" w:styleId="ListLabel14">
    <w:name w:val="ListLabel 14"/>
    <w:rPr>
      <w:lang w:val="en-GB"/>
    </w:rPr>
  </w:style>
  <w:style w:type="character" w:customStyle="1" w:styleId="ListLabel15">
    <w:name w:val="ListLabel 15"/>
    <w:rPr>
      <w:rFonts w:eastAsia="Calibri" w:cs="Times New Roman"/>
    </w:rPr>
  </w:style>
  <w:style w:type="character" w:customStyle="1" w:styleId="Caractresdenotedebasdepage">
    <w:name w:val="Caractères de note de bas de page"/>
  </w:style>
  <w:style w:type="character" w:styleId="Referinnotdesubsol">
    <w:name w:val="footnote reference"/>
    <w:uiPriority w:val="99"/>
    <w:rPr>
      <w:vertAlign w:val="superscript"/>
    </w:rPr>
  </w:style>
  <w:style w:type="character" w:styleId="Referinnotdefinal">
    <w:name w:val="endnote reference"/>
    <w:rPr>
      <w:vertAlign w:val="superscript"/>
    </w:rPr>
  </w:style>
  <w:style w:type="character" w:customStyle="1" w:styleId="Caractresdenotedefin">
    <w:name w:val="Caractères de note de fin"/>
  </w:style>
  <w:style w:type="character" w:customStyle="1" w:styleId="Puces">
    <w:name w:val="Puces"/>
    <w:rPr>
      <w:rFonts w:ascii="OpenSymbol" w:eastAsia="OpenSymbol" w:hAnsi="OpenSymbol" w:cs="OpenSymbol"/>
    </w:rPr>
  </w:style>
  <w:style w:type="paragraph" w:customStyle="1" w:styleId="Titre">
    <w:name w:val="Titre"/>
    <w:basedOn w:val="Normal"/>
    <w:next w:val="Corptext"/>
    <w:pPr>
      <w:keepNext/>
      <w:spacing w:before="240" w:after="120"/>
    </w:pPr>
    <w:rPr>
      <w:rFonts w:ascii="Arial" w:hAnsi="Arial" w:cs="Arial Unicode MS"/>
      <w:sz w:val="28"/>
      <w:szCs w:val="28"/>
    </w:rPr>
  </w:style>
  <w:style w:type="paragraph" w:styleId="Corptext">
    <w:name w:val="Body Text"/>
    <w:basedOn w:val="Normal"/>
    <w:pPr>
      <w:spacing w:after="120"/>
    </w:pPr>
  </w:style>
  <w:style w:type="paragraph" w:styleId="List">
    <w:name w:val="List"/>
    <w:basedOn w:val="Corptext"/>
  </w:style>
  <w:style w:type="paragraph" w:customStyle="1" w:styleId="Lgende">
    <w:name w:val="Légende"/>
    <w:basedOn w:val="Normal"/>
    <w:pPr>
      <w:suppressLineNumbers/>
      <w:spacing w:before="120" w:after="120"/>
    </w:pPr>
    <w:rPr>
      <w:i/>
      <w:iCs/>
      <w:sz w:val="24"/>
      <w:szCs w:val="24"/>
    </w:rPr>
  </w:style>
  <w:style w:type="paragraph" w:customStyle="1" w:styleId="Index">
    <w:name w:val="Index"/>
    <w:basedOn w:val="Normal"/>
    <w:pPr>
      <w:suppressLineNumbers/>
    </w:pPr>
  </w:style>
  <w:style w:type="paragraph" w:styleId="TextnBalon">
    <w:name w:val="Balloon Text"/>
    <w:basedOn w:val="Normal"/>
    <w:pPr>
      <w:spacing w:after="0" w:line="100" w:lineRule="atLeast"/>
    </w:pPr>
    <w:rPr>
      <w:rFonts w:ascii="Tahoma" w:hAnsi="Tahoma" w:cs="Tahoma"/>
      <w:sz w:val="16"/>
      <w:szCs w:val="16"/>
    </w:rPr>
  </w:style>
  <w:style w:type="paragraph" w:styleId="NormalWeb">
    <w:name w:val="Normal (Web)"/>
    <w:basedOn w:val="Normal"/>
    <w:pPr>
      <w:spacing w:before="100" w:after="100" w:line="100" w:lineRule="atLeast"/>
    </w:pPr>
    <w:rPr>
      <w:rFonts w:ascii="Times New Roman" w:eastAsia="Times New Roman" w:hAnsi="Times New Roman" w:cs="Times New Roman"/>
      <w:sz w:val="24"/>
      <w:szCs w:val="24"/>
    </w:rPr>
  </w:style>
  <w:style w:type="paragraph" w:customStyle="1" w:styleId="FootnoteText1">
    <w:name w:val="Footnote Text1"/>
    <w:basedOn w:val="Normal"/>
    <w:pPr>
      <w:spacing w:after="0" w:line="100" w:lineRule="atLeast"/>
    </w:pPr>
    <w:rPr>
      <w:sz w:val="20"/>
      <w:szCs w:val="20"/>
    </w:rPr>
  </w:style>
  <w:style w:type="paragraph" w:customStyle="1" w:styleId="Default">
    <w:name w:val="Default"/>
    <w:pPr>
      <w:suppressAutoHyphens/>
      <w:spacing w:line="100" w:lineRule="atLeast"/>
    </w:pPr>
    <w:rPr>
      <w:rFonts w:ascii="Arial" w:eastAsia="Arial Unicode MS" w:hAnsi="Arial" w:cs="Arial"/>
      <w:color w:val="000000"/>
      <w:sz w:val="24"/>
      <w:szCs w:val="24"/>
      <w:lang w:val="en-GB" w:eastAsia="ar-SA"/>
    </w:rPr>
  </w:style>
  <w:style w:type="paragraph" w:styleId="Listparagraf">
    <w:name w:val="List Paragraph"/>
    <w:basedOn w:val="Normal"/>
    <w:qFormat/>
    <w:pPr>
      <w:ind w:left="720"/>
    </w:pPr>
  </w:style>
  <w:style w:type="paragraph" w:styleId="Antet">
    <w:name w:val="header"/>
    <w:basedOn w:val="Normal"/>
    <w:pPr>
      <w:suppressLineNumbers/>
      <w:tabs>
        <w:tab w:val="center" w:pos="4680"/>
        <w:tab w:val="right" w:pos="9360"/>
      </w:tabs>
      <w:spacing w:after="0" w:line="100" w:lineRule="atLeast"/>
    </w:pPr>
  </w:style>
  <w:style w:type="paragraph" w:styleId="Subsol">
    <w:name w:val="footer"/>
    <w:basedOn w:val="Normal"/>
    <w:uiPriority w:val="99"/>
    <w:pPr>
      <w:suppressLineNumbers/>
      <w:tabs>
        <w:tab w:val="center" w:pos="4680"/>
        <w:tab w:val="right" w:pos="9360"/>
      </w:tabs>
      <w:spacing w:after="0" w:line="100" w:lineRule="atLeast"/>
    </w:pPr>
  </w:style>
  <w:style w:type="paragraph" w:customStyle="1" w:styleId="CommentText1">
    <w:name w:val="Comment Text1"/>
    <w:basedOn w:val="Normal"/>
    <w:pPr>
      <w:spacing w:line="100" w:lineRule="atLeast"/>
    </w:pPr>
    <w:rPr>
      <w:sz w:val="20"/>
      <w:szCs w:val="20"/>
    </w:rPr>
  </w:style>
  <w:style w:type="paragraph" w:customStyle="1" w:styleId="CommentSubject1">
    <w:name w:val="Comment Subject1"/>
    <w:basedOn w:val="CommentText1"/>
    <w:rPr>
      <w:b/>
      <w:bCs/>
    </w:rPr>
  </w:style>
  <w:style w:type="paragraph" w:styleId="Titlu">
    <w:name w:val="Title"/>
    <w:basedOn w:val="Normal"/>
    <w:next w:val="Subtitlu"/>
    <w:qFormat/>
    <w:pPr>
      <w:pBdr>
        <w:bottom w:val="single" w:sz="8" w:space="4" w:color="808080"/>
      </w:pBdr>
      <w:spacing w:after="300" w:line="100" w:lineRule="atLeast"/>
    </w:pPr>
    <w:rPr>
      <w:rFonts w:ascii="Cambria" w:eastAsia="Times New Roman" w:hAnsi="Cambria" w:cs="Times New Roman"/>
      <w:b/>
      <w:bCs/>
      <w:color w:val="17365D"/>
      <w:spacing w:val="5"/>
      <w:kern w:val="1"/>
      <w:sz w:val="52"/>
      <w:szCs w:val="52"/>
      <w:lang w:val="en-US"/>
    </w:rPr>
  </w:style>
  <w:style w:type="paragraph" w:styleId="Subtitlu">
    <w:name w:val="Subtitle"/>
    <w:basedOn w:val="Titre"/>
    <w:next w:val="Corptext"/>
    <w:qFormat/>
    <w:pPr>
      <w:jc w:val="center"/>
    </w:pPr>
    <w:rPr>
      <w:i/>
      <w:iCs/>
    </w:rPr>
  </w:style>
  <w:style w:type="paragraph" w:styleId="Textnotdesubsol">
    <w:name w:val="footnote text"/>
    <w:basedOn w:val="Normal"/>
    <w:uiPriority w:val="99"/>
    <w:pPr>
      <w:suppressLineNumbers/>
      <w:ind w:left="283" w:hanging="283"/>
    </w:pPr>
    <w:rPr>
      <w:sz w:val="20"/>
      <w:szCs w:val="20"/>
    </w:rPr>
  </w:style>
  <w:style w:type="character" w:styleId="Referincomentariu">
    <w:name w:val="annotation reference"/>
    <w:uiPriority w:val="99"/>
    <w:semiHidden/>
    <w:unhideWhenUsed/>
    <w:rsid w:val="003C6867"/>
    <w:rPr>
      <w:sz w:val="16"/>
      <w:szCs w:val="16"/>
    </w:rPr>
  </w:style>
  <w:style w:type="paragraph" w:styleId="Textcomentariu">
    <w:name w:val="annotation text"/>
    <w:basedOn w:val="Normal"/>
    <w:link w:val="TextcomentariuCaracter"/>
    <w:uiPriority w:val="99"/>
    <w:semiHidden/>
    <w:unhideWhenUsed/>
    <w:rsid w:val="003C6867"/>
    <w:rPr>
      <w:sz w:val="20"/>
      <w:szCs w:val="20"/>
    </w:rPr>
  </w:style>
  <w:style w:type="character" w:customStyle="1" w:styleId="TextcomentariuCaracter">
    <w:name w:val="Text comentariu Caracter"/>
    <w:link w:val="Textcomentariu"/>
    <w:uiPriority w:val="99"/>
    <w:semiHidden/>
    <w:rsid w:val="003C6867"/>
    <w:rPr>
      <w:rFonts w:ascii="Calibri" w:eastAsia="Arial Unicode MS" w:hAnsi="Calibri" w:cs="Calibri"/>
      <w:lang w:val="en-GB" w:eastAsia="ar-SA"/>
    </w:rPr>
  </w:style>
  <w:style w:type="paragraph" w:styleId="SubiectComentariu">
    <w:name w:val="annotation subject"/>
    <w:basedOn w:val="Textcomentariu"/>
    <w:next w:val="Textcomentariu"/>
    <w:link w:val="SubiectComentariuCaracter"/>
    <w:uiPriority w:val="99"/>
    <w:semiHidden/>
    <w:unhideWhenUsed/>
    <w:rsid w:val="003C6867"/>
    <w:rPr>
      <w:b/>
      <w:bCs/>
    </w:rPr>
  </w:style>
  <w:style w:type="character" w:customStyle="1" w:styleId="SubiectComentariuCaracter">
    <w:name w:val="Subiect Comentariu Caracter"/>
    <w:link w:val="SubiectComentariu"/>
    <w:uiPriority w:val="99"/>
    <w:semiHidden/>
    <w:rsid w:val="003C6867"/>
    <w:rPr>
      <w:rFonts w:ascii="Calibri" w:eastAsia="Arial Unicode MS" w:hAnsi="Calibri" w:cs="Calibri"/>
      <w:b/>
      <w:bCs/>
      <w:lang w:val="en-GB" w:eastAsia="ar-SA"/>
    </w:rPr>
  </w:style>
  <w:style w:type="paragraph" w:styleId="Textsimplu">
    <w:name w:val="Plain Text"/>
    <w:basedOn w:val="Normal"/>
    <w:link w:val="TextsimpluCaracter"/>
    <w:uiPriority w:val="99"/>
    <w:unhideWhenUsed/>
    <w:rsid w:val="0040169F"/>
    <w:pPr>
      <w:suppressAutoHyphens w:val="0"/>
      <w:spacing w:after="0" w:line="240" w:lineRule="auto"/>
    </w:pPr>
    <w:rPr>
      <w:rFonts w:eastAsiaTheme="minorHAnsi" w:cstheme="minorBidi"/>
      <w:szCs w:val="21"/>
      <w:lang w:val="en-US" w:eastAsia="en-US"/>
    </w:rPr>
  </w:style>
  <w:style w:type="character" w:customStyle="1" w:styleId="TextsimpluCaracter">
    <w:name w:val="Text simplu Caracter"/>
    <w:basedOn w:val="Fontdeparagrafimplicit"/>
    <w:link w:val="Textsimplu"/>
    <w:uiPriority w:val="99"/>
    <w:rsid w:val="0040169F"/>
    <w:rPr>
      <w:rFonts w:ascii="Calibri" w:eastAsiaTheme="minorHAnsi" w:hAnsi="Calibri" w:cstheme="minorBidi"/>
      <w:sz w:val="22"/>
      <w:szCs w:val="21"/>
    </w:rPr>
  </w:style>
  <w:style w:type="paragraph" w:styleId="Corptext2">
    <w:name w:val="Body Text 2"/>
    <w:basedOn w:val="Normal"/>
    <w:link w:val="Corptext2Caracter"/>
    <w:uiPriority w:val="99"/>
    <w:semiHidden/>
    <w:unhideWhenUsed/>
    <w:rsid w:val="00645B87"/>
    <w:pPr>
      <w:spacing w:after="120" w:line="480" w:lineRule="auto"/>
    </w:pPr>
  </w:style>
  <w:style w:type="character" w:customStyle="1" w:styleId="Corptext2Caracter">
    <w:name w:val="Corp text 2 Caracter"/>
    <w:basedOn w:val="Fontdeparagrafimplicit"/>
    <w:link w:val="Corptext2"/>
    <w:uiPriority w:val="99"/>
    <w:semiHidden/>
    <w:rsid w:val="00645B87"/>
    <w:rPr>
      <w:rFonts w:ascii="Calibri" w:eastAsia="Arial Unicode MS" w:hAnsi="Calibri" w:cs="Calibri"/>
      <w:sz w:val="22"/>
      <w:szCs w:val="22"/>
      <w:lang w:val="en-GB" w:eastAsia="ar-SA"/>
    </w:rPr>
  </w:style>
  <w:style w:type="table" w:styleId="Tabelgril">
    <w:name w:val="Table Grid"/>
    <w:basedOn w:val="TabelNormal"/>
    <w:uiPriority w:val="59"/>
    <w:rsid w:val="00C0356D"/>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umarcatori">
    <w:name w:val="List Bullet"/>
    <w:basedOn w:val="Normal"/>
    <w:uiPriority w:val="99"/>
    <w:semiHidden/>
    <w:unhideWhenUsed/>
    <w:rsid w:val="003D732B"/>
    <w:pPr>
      <w:numPr>
        <w:numId w:val="10"/>
      </w:numPr>
      <w:contextualSpacing/>
    </w:pPr>
  </w:style>
  <w:style w:type="character" w:customStyle="1" w:styleId="Titlu2Caracter">
    <w:name w:val="Titlu 2 Caracter"/>
    <w:basedOn w:val="Fontdeparagrafimplicit"/>
    <w:link w:val="Titlu2"/>
    <w:uiPriority w:val="9"/>
    <w:semiHidden/>
    <w:rsid w:val="00363BEA"/>
    <w:rPr>
      <w:rFonts w:asciiTheme="majorHAnsi" w:eastAsiaTheme="majorEastAsia" w:hAnsiTheme="majorHAnsi" w:cstheme="majorBidi"/>
      <w:b/>
      <w:bCs/>
      <w:color w:val="4F81BD" w:themeColor="accent1"/>
      <w:sz w:val="26"/>
      <w:szCs w:val="2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453143">
      <w:bodyDiv w:val="1"/>
      <w:marLeft w:val="0"/>
      <w:marRight w:val="0"/>
      <w:marTop w:val="0"/>
      <w:marBottom w:val="0"/>
      <w:divBdr>
        <w:top w:val="none" w:sz="0" w:space="0" w:color="auto"/>
        <w:left w:val="none" w:sz="0" w:space="0" w:color="auto"/>
        <w:bottom w:val="none" w:sz="0" w:space="0" w:color="auto"/>
        <w:right w:val="none" w:sz="0" w:space="0" w:color="auto"/>
      </w:divBdr>
    </w:div>
    <w:div w:id="350376184">
      <w:bodyDiv w:val="1"/>
      <w:marLeft w:val="0"/>
      <w:marRight w:val="0"/>
      <w:marTop w:val="0"/>
      <w:marBottom w:val="0"/>
      <w:divBdr>
        <w:top w:val="none" w:sz="0" w:space="0" w:color="auto"/>
        <w:left w:val="none" w:sz="0" w:space="0" w:color="auto"/>
        <w:bottom w:val="none" w:sz="0" w:space="0" w:color="auto"/>
        <w:right w:val="none" w:sz="0" w:space="0" w:color="auto"/>
      </w:divBdr>
    </w:div>
    <w:div w:id="621225519">
      <w:bodyDiv w:val="1"/>
      <w:marLeft w:val="0"/>
      <w:marRight w:val="0"/>
      <w:marTop w:val="0"/>
      <w:marBottom w:val="0"/>
      <w:divBdr>
        <w:top w:val="none" w:sz="0" w:space="0" w:color="auto"/>
        <w:left w:val="none" w:sz="0" w:space="0" w:color="auto"/>
        <w:bottom w:val="none" w:sz="0" w:space="0" w:color="auto"/>
        <w:right w:val="none" w:sz="0" w:space="0" w:color="auto"/>
      </w:divBdr>
    </w:div>
    <w:div w:id="738556055">
      <w:bodyDiv w:val="1"/>
      <w:marLeft w:val="0"/>
      <w:marRight w:val="0"/>
      <w:marTop w:val="0"/>
      <w:marBottom w:val="0"/>
      <w:divBdr>
        <w:top w:val="none" w:sz="0" w:space="0" w:color="auto"/>
        <w:left w:val="none" w:sz="0" w:space="0" w:color="auto"/>
        <w:bottom w:val="none" w:sz="0" w:space="0" w:color="auto"/>
        <w:right w:val="none" w:sz="0" w:space="0" w:color="auto"/>
      </w:divBdr>
    </w:div>
    <w:div w:id="900097287">
      <w:bodyDiv w:val="1"/>
      <w:marLeft w:val="0"/>
      <w:marRight w:val="0"/>
      <w:marTop w:val="0"/>
      <w:marBottom w:val="0"/>
      <w:divBdr>
        <w:top w:val="none" w:sz="0" w:space="0" w:color="auto"/>
        <w:left w:val="none" w:sz="0" w:space="0" w:color="auto"/>
        <w:bottom w:val="none" w:sz="0" w:space="0" w:color="auto"/>
        <w:right w:val="none" w:sz="0" w:space="0" w:color="auto"/>
      </w:divBdr>
    </w:div>
    <w:div w:id="1114447751">
      <w:bodyDiv w:val="1"/>
      <w:marLeft w:val="0"/>
      <w:marRight w:val="0"/>
      <w:marTop w:val="0"/>
      <w:marBottom w:val="0"/>
      <w:divBdr>
        <w:top w:val="none" w:sz="0" w:space="0" w:color="auto"/>
        <w:left w:val="none" w:sz="0" w:space="0" w:color="auto"/>
        <w:bottom w:val="none" w:sz="0" w:space="0" w:color="auto"/>
        <w:right w:val="none" w:sz="0" w:space="0" w:color="auto"/>
      </w:divBdr>
    </w:div>
    <w:div w:id="1961304207">
      <w:bodyDiv w:val="1"/>
      <w:marLeft w:val="0"/>
      <w:marRight w:val="0"/>
      <w:marTop w:val="0"/>
      <w:marBottom w:val="0"/>
      <w:divBdr>
        <w:top w:val="none" w:sz="0" w:space="0" w:color="auto"/>
        <w:left w:val="none" w:sz="0" w:space="0" w:color="auto"/>
        <w:bottom w:val="none" w:sz="0" w:space="0" w:color="auto"/>
        <w:right w:val="none" w:sz="0" w:space="0" w:color="auto"/>
      </w:divBdr>
    </w:div>
    <w:div w:id="1984309828">
      <w:bodyDiv w:val="1"/>
      <w:marLeft w:val="0"/>
      <w:marRight w:val="0"/>
      <w:marTop w:val="0"/>
      <w:marBottom w:val="0"/>
      <w:divBdr>
        <w:top w:val="none" w:sz="0" w:space="0" w:color="auto"/>
        <w:left w:val="none" w:sz="0" w:space="0" w:color="auto"/>
        <w:bottom w:val="none" w:sz="0" w:space="0" w:color="auto"/>
        <w:right w:val="none" w:sz="0" w:space="0" w:color="auto"/>
      </w:divBdr>
    </w:div>
    <w:div w:id="1987542268">
      <w:bodyDiv w:val="1"/>
      <w:marLeft w:val="0"/>
      <w:marRight w:val="0"/>
      <w:marTop w:val="0"/>
      <w:marBottom w:val="0"/>
      <w:divBdr>
        <w:top w:val="none" w:sz="0" w:space="0" w:color="auto"/>
        <w:left w:val="none" w:sz="0" w:space="0" w:color="auto"/>
        <w:bottom w:val="none" w:sz="0" w:space="0" w:color="auto"/>
        <w:right w:val="none" w:sz="0" w:space="0" w:color="auto"/>
      </w:divBdr>
    </w:div>
    <w:div w:id="211335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_rels/footer2.xml.rels><?xml version="1.0" encoding="UTF-8" standalone="yes"?>
<Relationships xmlns="http://schemas.openxmlformats.org/package/2006/relationships"><Relationship Id="rId1" Type="http://schemas.openxmlformats.org/officeDocument/2006/relationships/hyperlink" Target="http://www.coe.int/greco" TargetMode="External" /></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sites/info/files/progress-report-romania-2018-com-2018-com-2018-851_en.pdf" TargetMode="External" /><Relationship Id="rId13" Type="http://schemas.openxmlformats.org/officeDocument/2006/relationships/hyperlink" Target="https://www.venice.coe.int/webforms/documents/?pdf=CDL-AD(2018)017-e" TargetMode="External" /><Relationship Id="rId3" Type="http://schemas.openxmlformats.org/officeDocument/2006/relationships/hyperlink" Target="https://www.nineoclock.ro/2019/06/05/president-starts-consultations-with-parliamentary-parties-on-enacting-iohannis-ample-amending-of-constitution-not-desirable-now-referendum-on-amending-constitution-should-overlap-elections/" TargetMode="External" /><Relationship Id="rId7" Type="http://schemas.openxmlformats.org/officeDocument/2006/relationships/hyperlink" Target="https://rm.coe.int/ccje-bu-2019-4-en-opinion-romania-2019-final-25-april-2019/168094556c" TargetMode="External" /><Relationship Id="rId12" Type="http://schemas.openxmlformats.org/officeDocument/2006/relationships/hyperlink" Target="https://search.coe.int/cm/Pages/result_details.aspx?ObjectId=09000016805afb78" TargetMode="External" /><Relationship Id="rId2" Type="http://schemas.openxmlformats.org/officeDocument/2006/relationships/hyperlink" Target="https://www.venice.coe.int/webforms/documents/?pdf=CDL-AD(2018)021-e" TargetMode="External" /><Relationship Id="rId1" Type="http://schemas.openxmlformats.org/officeDocument/2006/relationships/hyperlink" Target="https://www.coe.int/en/web/greco/-/romania-publication-today-of-the-fourth-round-compliance-report" TargetMode="External" /><Relationship Id="rId6" Type="http://schemas.openxmlformats.org/officeDocument/2006/relationships/hyperlink" Target="https://rm.coe.int/ccpe-bu-2019-3-opinion-romania-2019-final/168094848a" TargetMode="External" /><Relationship Id="rId11" Type="http://schemas.openxmlformats.org/officeDocument/2006/relationships/hyperlink" Target="https://search.coe.int/cm/Pages/result_details.aspx?Reference=CM/Rec(2010)12" TargetMode="External" /><Relationship Id="rId5" Type="http://schemas.openxmlformats.org/officeDocument/2006/relationships/hyperlink" Target="https://www.venice.coe.int/webforms/documents/?pdf=CDL-AD(2018)017-e" TargetMode="External" /><Relationship Id="rId10" Type="http://schemas.openxmlformats.org/officeDocument/2006/relationships/hyperlink" Target="http://wcd.coe.int/ViewDoc.jsp?Ref=CCJE(2002)OP3&amp;Sector=secDGHL&amp;Language=lanEnglish&amp;Ver=original&amp;BackColorInternet=FEF2E0&amp;BackColorIntranet=FEF2E0&amp;BackColorLogged=c3c3c3" TargetMode="External" /><Relationship Id="rId4" Type="http://schemas.openxmlformats.org/officeDocument/2006/relationships/hyperlink" Target="https://www.nineoclock.ro/2019/05/28/bec-provides-partial-results-for-european-elections-pnl-26-35-psd-23-16-usr-plus-alliance-21-21-partial-count-reveals-over-4-million-say-yes-in-justice-referendum/" TargetMode="External" /><Relationship Id="rId9" Type="http://schemas.openxmlformats.org/officeDocument/2006/relationships/hyperlink" Target="https://www.venice.coe.int/webforms/documents/?pdf=CDL-AD(2018)017-e" TargetMode="External" /><Relationship Id="rId14" Type="http://schemas.openxmlformats.org/officeDocument/2006/relationships/hyperlink" Target="https://www.politico.eu/article/romanian-pm-viorica-dancila-vows-to-abandon-controversial-judicial-changes-liviu-dragnea-buchar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8FD55-ABE6-B649-95B3-1455661E60A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7429</Words>
  <Characters>43094</Characters>
  <Application>Microsoft Office Word</Application>
  <DocSecurity>0</DocSecurity>
  <Lines>359</Lines>
  <Paragraphs>100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Council of Europe</Company>
  <LinksUpToDate>false</LinksUpToDate>
  <CharactersWithSpaces>50423</CharactersWithSpaces>
  <SharedDoc>false</SharedDoc>
  <HLinks>
    <vt:vector size="204" baseType="variant">
      <vt:variant>
        <vt:i4>1769538</vt:i4>
      </vt:variant>
      <vt:variant>
        <vt:i4>0</vt:i4>
      </vt:variant>
      <vt:variant>
        <vt:i4>0</vt:i4>
      </vt:variant>
      <vt:variant>
        <vt:i4>5</vt:i4>
      </vt:variant>
      <vt:variant>
        <vt:lpwstr>https://rm.coe.int/fourth-evaluation-round-corruption-prevention-in-respect-of-members-of/168077e159</vt:lpwstr>
      </vt:variant>
      <vt:variant>
        <vt:lpwstr/>
      </vt:variant>
      <vt:variant>
        <vt:i4>589837</vt:i4>
      </vt:variant>
      <vt:variant>
        <vt:i4>96</vt:i4>
      </vt:variant>
      <vt:variant>
        <vt:i4>0</vt:i4>
      </vt:variant>
      <vt:variant>
        <vt:i4>5</vt:i4>
      </vt:variant>
      <vt:variant>
        <vt:lpwstr>http://www.romaniajournal.ro/update-csm-issues-negative-opinion-on-justice-ministers-call-to-dismiss-dnas-kovesi/</vt:lpwstr>
      </vt:variant>
      <vt:variant>
        <vt:lpwstr/>
      </vt:variant>
      <vt:variant>
        <vt:i4>262159</vt:i4>
      </vt:variant>
      <vt:variant>
        <vt:i4>93</vt:i4>
      </vt:variant>
      <vt:variant>
        <vt:i4>0</vt:i4>
      </vt:variant>
      <vt:variant>
        <vt:i4>5</vt:i4>
      </vt:variant>
      <vt:variant>
        <vt:lpwstr>https://www.romania-insider.com/romania-laura-codruta-kovesi-misconduct/</vt:lpwstr>
      </vt:variant>
      <vt:variant>
        <vt:lpwstr/>
      </vt:variant>
      <vt:variant>
        <vt:i4>3407934</vt:i4>
      </vt:variant>
      <vt:variant>
        <vt:i4>90</vt:i4>
      </vt:variant>
      <vt:variant>
        <vt:i4>0</vt:i4>
      </vt:variant>
      <vt:variant>
        <vt:i4>5</vt:i4>
      </vt:variant>
      <vt:variant>
        <vt:lpwstr>http://www.romaniajournal.ro/dna-chief-kovesi-heard-by-csm-on-judicial-inspection-report-says-the-team-had-divergent-opinions/</vt:lpwstr>
      </vt:variant>
      <vt:variant>
        <vt:lpwstr/>
      </vt:variant>
      <vt:variant>
        <vt:i4>4915265</vt:i4>
      </vt:variant>
      <vt:variant>
        <vt:i4>87</vt:i4>
      </vt:variant>
      <vt:variant>
        <vt:i4>0</vt:i4>
      </vt:variant>
      <vt:variant>
        <vt:i4>5</vt:i4>
      </vt:variant>
      <vt:variant>
        <vt:lpwstr>https://www.romania-insider.com/constitutional-court-finds-conflict-romanias-government-dna/</vt:lpwstr>
      </vt:variant>
      <vt:variant>
        <vt:lpwstr/>
      </vt:variant>
      <vt:variant>
        <vt:i4>4587614</vt:i4>
      </vt:variant>
      <vt:variant>
        <vt:i4>84</vt:i4>
      </vt:variant>
      <vt:variant>
        <vt:i4>0</vt:i4>
      </vt:variant>
      <vt:variant>
        <vt:i4>5</vt:i4>
      </vt:variant>
      <vt:variant>
        <vt:lpwstr>https://www.senat.ro/legis/lista.aspx?nr_cls=b688&amp;an_cls=2017</vt:lpwstr>
      </vt:variant>
      <vt:variant>
        <vt:lpwstr/>
      </vt:variant>
      <vt:variant>
        <vt:i4>4587601</vt:i4>
      </vt:variant>
      <vt:variant>
        <vt:i4>81</vt:i4>
      </vt:variant>
      <vt:variant>
        <vt:i4>0</vt:i4>
      </vt:variant>
      <vt:variant>
        <vt:i4>5</vt:i4>
      </vt:variant>
      <vt:variant>
        <vt:lpwstr>https://www.senat.ro/legis/lista.aspx?nr_cls=b687&amp;an_cls=2017</vt:lpwstr>
      </vt:variant>
      <vt:variant>
        <vt:lpwstr/>
      </vt:variant>
      <vt:variant>
        <vt:i4>4587600</vt:i4>
      </vt:variant>
      <vt:variant>
        <vt:i4>78</vt:i4>
      </vt:variant>
      <vt:variant>
        <vt:i4>0</vt:i4>
      </vt:variant>
      <vt:variant>
        <vt:i4>5</vt:i4>
      </vt:variant>
      <vt:variant>
        <vt:lpwstr>https://www.senat.ro/legis/lista.aspx?nr_cls=b686&amp;an_cls=2017</vt:lpwstr>
      </vt:variant>
      <vt:variant>
        <vt:lpwstr/>
      </vt:variant>
      <vt:variant>
        <vt:i4>4194308</vt:i4>
      </vt:variant>
      <vt:variant>
        <vt:i4>75</vt:i4>
      </vt:variant>
      <vt:variant>
        <vt:i4>0</vt:i4>
      </vt:variant>
      <vt:variant>
        <vt:i4>5</vt:i4>
      </vt:variant>
      <vt:variant>
        <vt:lpwstr>http://www.cdep.ro/comisii/suasl_justitie/pdf/2017/rd_1215.pdf</vt:lpwstr>
      </vt:variant>
      <vt:variant>
        <vt:lpwstr/>
      </vt:variant>
      <vt:variant>
        <vt:i4>4128861</vt:i4>
      </vt:variant>
      <vt:variant>
        <vt:i4>72</vt:i4>
      </vt:variant>
      <vt:variant>
        <vt:i4>0</vt:i4>
      </vt:variant>
      <vt:variant>
        <vt:i4>5</vt:i4>
      </vt:variant>
      <vt:variant>
        <vt:lpwstr>https://www.stiripesurse.ro/pm-tudose-on-justice-laws-any-law-can-be-perfected_1242007.html</vt:lpwstr>
      </vt:variant>
      <vt:variant>
        <vt:lpwstr/>
      </vt:variant>
      <vt:variant>
        <vt:i4>7274541</vt:i4>
      </vt:variant>
      <vt:variant>
        <vt:i4>69</vt:i4>
      </vt:variant>
      <vt:variant>
        <vt:i4>0</vt:i4>
      </vt:variant>
      <vt:variant>
        <vt:i4>5</vt:i4>
      </vt:variant>
      <vt:variant>
        <vt:lpwstr>http://www.romaniajournal.ro/pm-grindeanu-i-was-aware-geo-13-will-be-on-the-agenda/</vt:lpwstr>
      </vt:variant>
      <vt:variant>
        <vt:lpwstr/>
      </vt:variant>
      <vt:variant>
        <vt:i4>5636174</vt:i4>
      </vt:variant>
      <vt:variant>
        <vt:i4>66</vt:i4>
      </vt:variant>
      <vt:variant>
        <vt:i4>0</vt:i4>
      </vt:variant>
      <vt:variant>
        <vt:i4>5</vt:i4>
      </vt:variant>
      <vt:variant>
        <vt:lpwstr>https://fr.scribd.com/document/370766360/Early-Warning-Report-One-Year-of-Undermining-Rule-of-Law-in-Romania</vt:lpwstr>
      </vt:variant>
      <vt:variant>
        <vt:lpwstr/>
      </vt:variant>
      <vt:variant>
        <vt:i4>2490413</vt:i4>
      </vt:variant>
      <vt:variant>
        <vt:i4>63</vt:i4>
      </vt:variant>
      <vt:variant>
        <vt:i4>0</vt:i4>
      </vt:variant>
      <vt:variant>
        <vt:i4>5</vt:i4>
      </vt:variant>
      <vt:variant>
        <vt:lpwstr>https://www.theguardian.com/world/2017/feb/01/romanians-protests-emergency-law-prisoner-pardons-corruption</vt:lpwstr>
      </vt:variant>
      <vt:variant>
        <vt:lpwstr/>
      </vt:variant>
      <vt:variant>
        <vt:i4>31</vt:i4>
      </vt:variant>
      <vt:variant>
        <vt:i4>60</vt:i4>
      </vt:variant>
      <vt:variant>
        <vt:i4>0</vt:i4>
      </vt:variant>
      <vt:variant>
        <vt:i4>5</vt:i4>
      </vt:variant>
      <vt:variant>
        <vt:lpwstr>https://rm.coe.int/168070a582</vt:lpwstr>
      </vt:variant>
      <vt:variant>
        <vt:lpwstr/>
      </vt:variant>
      <vt:variant>
        <vt:i4>6225949</vt:i4>
      </vt:variant>
      <vt:variant>
        <vt:i4>57</vt:i4>
      </vt:variant>
      <vt:variant>
        <vt:i4>0</vt:i4>
      </vt:variant>
      <vt:variant>
        <vt:i4>5</vt:i4>
      </vt:variant>
      <vt:variant>
        <vt:lpwstr>https://rm.coe.int/16806c7d05</vt:lpwstr>
      </vt:variant>
      <vt:variant>
        <vt:lpwstr/>
      </vt:variant>
      <vt:variant>
        <vt:i4>786458</vt:i4>
      </vt:variant>
      <vt:variant>
        <vt:i4>54</vt:i4>
      </vt:variant>
      <vt:variant>
        <vt:i4>0</vt:i4>
      </vt:variant>
      <vt:variant>
        <vt:i4>5</vt:i4>
      </vt:variant>
      <vt:variant>
        <vt:lpwstr>https://rm.coe.int/16806c7cc4</vt:lpwstr>
      </vt:variant>
      <vt:variant>
        <vt:lpwstr/>
      </vt:variant>
      <vt:variant>
        <vt:i4>2687098</vt:i4>
      </vt:variant>
      <vt:variant>
        <vt:i4>51</vt:i4>
      </vt:variant>
      <vt:variant>
        <vt:i4>0</vt:i4>
      </vt:variant>
      <vt:variant>
        <vt:i4>5</vt:i4>
      </vt:variant>
      <vt:variant>
        <vt:lpwstr>https://www.agerpres.ro/english/2018/02/12/social-democrat-head-dragnea-increasingly-more-evidence-emerges-about-parallel-state-s-existence--53345</vt:lpwstr>
      </vt:variant>
      <vt:variant>
        <vt:lpwstr/>
      </vt:variant>
      <vt:variant>
        <vt:i4>589830</vt:i4>
      </vt:variant>
      <vt:variant>
        <vt:i4>48</vt:i4>
      </vt:variant>
      <vt:variant>
        <vt:i4>0</vt:i4>
      </vt:variant>
      <vt:variant>
        <vt:i4>5</vt:i4>
      </vt:variant>
      <vt:variant>
        <vt:lpwstr>https://www.romania-insider.com/psd-statement-parallel-state/</vt:lpwstr>
      </vt:variant>
      <vt:variant>
        <vt:lpwstr/>
      </vt:variant>
      <vt:variant>
        <vt:i4>4259923</vt:i4>
      </vt:variant>
      <vt:variant>
        <vt:i4>45</vt:i4>
      </vt:variant>
      <vt:variant>
        <vt:i4>0</vt:i4>
      </vt:variant>
      <vt:variant>
        <vt:i4>5</vt:i4>
      </vt:variant>
      <vt:variant>
        <vt:lpwstr>http://www.bbc.com/news/world-europe-42697971</vt:lpwstr>
      </vt:variant>
      <vt:variant>
        <vt:lpwstr/>
      </vt:variant>
      <vt:variant>
        <vt:i4>458845</vt:i4>
      </vt:variant>
      <vt:variant>
        <vt:i4>42</vt:i4>
      </vt:variant>
      <vt:variant>
        <vt:i4>0</vt:i4>
      </vt:variant>
      <vt:variant>
        <vt:i4>5</vt:i4>
      </vt:variant>
      <vt:variant>
        <vt:lpwstr>http://www.legislationline.org/documents/section/criminal-codes/country/8</vt:lpwstr>
      </vt:variant>
      <vt:variant>
        <vt:lpwstr/>
      </vt:variant>
      <vt:variant>
        <vt:i4>4194308</vt:i4>
      </vt:variant>
      <vt:variant>
        <vt:i4>39</vt:i4>
      </vt:variant>
      <vt:variant>
        <vt:i4>0</vt:i4>
      </vt:variant>
      <vt:variant>
        <vt:i4>5</vt:i4>
      </vt:variant>
      <vt:variant>
        <vt:lpwstr>http://www.cdep.ro/comisii/suasl_justitie/pdf/2017/rd_1215.pdf</vt:lpwstr>
      </vt:variant>
      <vt:variant>
        <vt:lpwstr/>
      </vt:variant>
      <vt:variant>
        <vt:i4>2097275</vt:i4>
      </vt:variant>
      <vt:variant>
        <vt:i4>36</vt:i4>
      </vt:variant>
      <vt:variant>
        <vt:i4>0</vt:i4>
      </vt:variant>
      <vt:variant>
        <vt:i4>5</vt:i4>
      </vt:variant>
      <vt:variant>
        <vt:lpwstr>https://www.facebook.com/DutchEmbassyRomania/posts/1802313063112358</vt:lpwstr>
      </vt:variant>
      <vt:variant>
        <vt:lpwstr/>
      </vt:variant>
      <vt:variant>
        <vt:i4>2162725</vt:i4>
      </vt:variant>
      <vt:variant>
        <vt:i4>33</vt:i4>
      </vt:variant>
      <vt:variant>
        <vt:i4>0</vt:i4>
      </vt:variant>
      <vt:variant>
        <vt:i4>5</vt:i4>
      </vt:variant>
      <vt:variant>
        <vt:lpwstr>http://www.dailyherald.com/article/20171127/news/311279857</vt:lpwstr>
      </vt:variant>
      <vt:variant>
        <vt:lpwstr/>
      </vt:variant>
      <vt:variant>
        <vt:i4>4194383</vt:i4>
      </vt:variant>
      <vt:variant>
        <vt:i4>30</vt:i4>
      </vt:variant>
      <vt:variant>
        <vt:i4>0</vt:i4>
      </vt:variant>
      <vt:variant>
        <vt:i4>5</vt:i4>
      </vt:variant>
      <vt:variant>
        <vt:lpwstr>http://www.dw.com/en/in-romania-thousands-rally-against-proposal-to-water-down-corruption-laws/a-41539714</vt:lpwstr>
      </vt:variant>
      <vt:variant>
        <vt:lpwstr/>
      </vt:variant>
      <vt:variant>
        <vt:i4>3997806</vt:i4>
      </vt:variant>
      <vt:variant>
        <vt:i4>27</vt:i4>
      </vt:variant>
      <vt:variant>
        <vt:i4>0</vt:i4>
      </vt:variant>
      <vt:variant>
        <vt:i4>5</vt:i4>
      </vt:variant>
      <vt:variant>
        <vt:lpwstr>http://www.forumuljudecatorilor.ro/index.php/archives/2866</vt:lpwstr>
      </vt:variant>
      <vt:variant>
        <vt:lpwstr/>
      </vt:variant>
      <vt:variant>
        <vt:i4>4980844</vt:i4>
      </vt:variant>
      <vt:variant>
        <vt:i4>24</vt:i4>
      </vt:variant>
      <vt:variant>
        <vt:i4>0</vt:i4>
      </vt:variant>
      <vt:variant>
        <vt:i4>5</vt:i4>
      </vt:variant>
      <vt:variant>
        <vt:lpwstr>http://www.cdep.ro/pls/proiecte/upl_pck2015.proiect?cam=2&amp;idp=16612</vt:lpwstr>
      </vt:variant>
      <vt:variant>
        <vt:lpwstr/>
      </vt:variant>
      <vt:variant>
        <vt:i4>4980844</vt:i4>
      </vt:variant>
      <vt:variant>
        <vt:i4>21</vt:i4>
      </vt:variant>
      <vt:variant>
        <vt:i4>0</vt:i4>
      </vt:variant>
      <vt:variant>
        <vt:i4>5</vt:i4>
      </vt:variant>
      <vt:variant>
        <vt:lpwstr>http://www.cdep.ro/pls/proiecte/upl_pck2015.proiect?cam=2&amp;idp=16611</vt:lpwstr>
      </vt:variant>
      <vt:variant>
        <vt:lpwstr/>
      </vt:variant>
      <vt:variant>
        <vt:i4>4980844</vt:i4>
      </vt:variant>
      <vt:variant>
        <vt:i4>18</vt:i4>
      </vt:variant>
      <vt:variant>
        <vt:i4>0</vt:i4>
      </vt:variant>
      <vt:variant>
        <vt:i4>5</vt:i4>
      </vt:variant>
      <vt:variant>
        <vt:lpwstr>http://www.cdep.ro/pls/proiecte/upl_pck2015.proiect?cam=2&amp;idp=16610</vt:lpwstr>
      </vt:variant>
      <vt:variant>
        <vt:lpwstr/>
      </vt:variant>
      <vt:variant>
        <vt:i4>2162766</vt:i4>
      </vt:variant>
      <vt:variant>
        <vt:i4>15</vt:i4>
      </vt:variant>
      <vt:variant>
        <vt:i4>0</vt:i4>
      </vt:variant>
      <vt:variant>
        <vt:i4>5</vt:i4>
      </vt:variant>
      <vt:variant>
        <vt:lpwstr>http://www.cdep.ro/pls/proiecte/upl_com2015.lista?idc=221&amp;an=2017</vt:lpwstr>
      </vt:variant>
      <vt:variant>
        <vt:lpwstr/>
      </vt:variant>
      <vt:variant>
        <vt:i4>7995514</vt:i4>
      </vt:variant>
      <vt:variant>
        <vt:i4>12</vt:i4>
      </vt:variant>
      <vt:variant>
        <vt:i4>0</vt:i4>
      </vt:variant>
      <vt:variant>
        <vt:i4>5</vt:i4>
      </vt:variant>
      <vt:variant>
        <vt:lpwstr>http://www.cdep.ro/co/sedinte2015.lista?tip=221&amp;an=2017</vt:lpwstr>
      </vt:variant>
      <vt:variant>
        <vt:lpwstr/>
      </vt:variant>
      <vt:variant>
        <vt:i4>7143505</vt:i4>
      </vt:variant>
      <vt:variant>
        <vt:i4>9</vt:i4>
      </vt:variant>
      <vt:variant>
        <vt:i4>0</vt:i4>
      </vt:variant>
      <vt:variant>
        <vt:i4>5</vt:i4>
      </vt:variant>
      <vt:variant>
        <vt:lpwstr>https://www.senat.ro/Comisie_new.aspx?Zi&amp;ComisieID=fcd47296-4b0c-4848-bfc2-d0a1cc2cae60</vt:lpwstr>
      </vt:variant>
      <vt:variant>
        <vt:lpwstr/>
      </vt:variant>
      <vt:variant>
        <vt:i4>983071</vt:i4>
      </vt:variant>
      <vt:variant>
        <vt:i4>6</vt:i4>
      </vt:variant>
      <vt:variant>
        <vt:i4>0</vt:i4>
      </vt:variant>
      <vt:variant>
        <vt:i4>5</vt:i4>
      </vt:variant>
      <vt:variant>
        <vt:lpwstr>http://www.just.ro/principalele-modificari-propuse-la-legile-justitiei-legea-nr-3032004-legea-nr-3042004-si-legea-nr-3172004/</vt:lpwstr>
      </vt:variant>
      <vt:variant>
        <vt:lpwstr/>
      </vt:variant>
      <vt:variant>
        <vt:i4>4456525</vt:i4>
      </vt:variant>
      <vt:variant>
        <vt:i4>3</vt:i4>
      </vt:variant>
      <vt:variant>
        <vt:i4>0</vt:i4>
      </vt:variant>
      <vt:variant>
        <vt:i4>5</vt:i4>
      </vt:variant>
      <vt:variant>
        <vt:lpwstr>https://www.irishtimes.com/news/world/europe/romanian-ngos-demand-halt-to-judicial-and-anti-graft-overhaul-1.3339127</vt:lpwstr>
      </vt:variant>
      <vt:variant>
        <vt:lpwstr/>
      </vt:variant>
      <vt:variant>
        <vt:i4>7274600</vt:i4>
      </vt:variant>
      <vt:variant>
        <vt:i4>0</vt:i4>
      </vt:variant>
      <vt:variant>
        <vt:i4>0</vt:i4>
      </vt:variant>
      <vt:variant>
        <vt:i4>5</vt:i4>
      </vt:variant>
      <vt:variant>
        <vt:lpwstr>https://www.romania-insider.com/tens-thousands-join-first-big-protest-year-romania/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DIJK Tania</dc:creator>
  <cp:lastModifiedBy>Utilizator invitat</cp:lastModifiedBy>
  <cp:revision>2</cp:revision>
  <cp:lastPrinted>2019-06-19T13:05:00Z</cp:lastPrinted>
  <dcterms:created xsi:type="dcterms:W3CDTF">2019-07-08T18:58:00Z</dcterms:created>
  <dcterms:modified xsi:type="dcterms:W3CDTF">2019-07-08T18:58:00Z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Council of Europe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