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D93" w:rsidRPr="00815699" w:rsidRDefault="00143D93" w:rsidP="00143D93">
      <w:pPr>
        <w:spacing w:line="360" w:lineRule="auto"/>
        <w:rPr>
          <w:rFonts w:ascii="Times New Roman" w:hAnsi="Times New Roman" w:cs="Times New Roman"/>
          <w:sz w:val="24"/>
          <w:szCs w:val="24"/>
        </w:rPr>
      </w:pPr>
    </w:p>
    <w:p w:rsidR="00143D93" w:rsidRDefault="00143D93" w:rsidP="00143D93">
      <w:pPr>
        <w:rPr>
          <w:rFonts w:ascii="Times New Roman" w:hAnsi="Times New Roman" w:cs="Times New Roman"/>
          <w:sz w:val="24"/>
          <w:szCs w:val="24"/>
        </w:rPr>
      </w:pPr>
    </w:p>
    <w:p w:rsidR="00DB3D82" w:rsidRDefault="00DB3D82" w:rsidP="00143D93">
      <w:pPr>
        <w:rPr>
          <w:rFonts w:ascii="Times New Roman" w:hAnsi="Times New Roman" w:cs="Times New Roman"/>
          <w:sz w:val="24"/>
          <w:szCs w:val="24"/>
        </w:rPr>
      </w:pPr>
    </w:p>
    <w:p w:rsidR="00DB3D82" w:rsidRDefault="00DB3D82" w:rsidP="00143D93">
      <w:pPr>
        <w:rPr>
          <w:rFonts w:ascii="Times New Roman" w:hAnsi="Times New Roman" w:cs="Times New Roman"/>
          <w:sz w:val="24"/>
          <w:szCs w:val="24"/>
        </w:rPr>
      </w:pPr>
    </w:p>
    <w:p w:rsidR="00DB3D82" w:rsidRDefault="00DB3D82" w:rsidP="00143D93">
      <w:pPr>
        <w:rPr>
          <w:rFonts w:ascii="Times New Roman" w:hAnsi="Times New Roman" w:cs="Times New Roman"/>
          <w:sz w:val="24"/>
          <w:szCs w:val="24"/>
        </w:rPr>
      </w:pPr>
    </w:p>
    <w:p w:rsidR="00DB3D82" w:rsidRDefault="00DB3D82" w:rsidP="00143D93">
      <w:pPr>
        <w:rPr>
          <w:rFonts w:ascii="Times New Roman" w:hAnsi="Times New Roman" w:cs="Times New Roman"/>
          <w:sz w:val="24"/>
          <w:szCs w:val="24"/>
        </w:rPr>
      </w:pPr>
    </w:p>
    <w:p w:rsidR="00DB3D82" w:rsidRDefault="00DB3D82" w:rsidP="00143D93">
      <w:pPr>
        <w:rPr>
          <w:rFonts w:ascii="Times New Roman" w:hAnsi="Times New Roman" w:cs="Times New Roman"/>
          <w:sz w:val="24"/>
          <w:szCs w:val="24"/>
        </w:rPr>
      </w:pPr>
    </w:p>
    <w:p w:rsidR="00DB3D82" w:rsidRPr="005440D4" w:rsidRDefault="005440D4" w:rsidP="005440D4">
      <w:pPr>
        <w:tabs>
          <w:tab w:val="left" w:pos="2565"/>
        </w:tabs>
        <w:jc w:val="center"/>
        <w:rPr>
          <w:rFonts w:ascii="Times New Roman" w:hAnsi="Times New Roman" w:cs="Times New Roman"/>
          <w:b/>
          <w:sz w:val="32"/>
          <w:szCs w:val="32"/>
          <w:lang w:val="ro-RO"/>
        </w:rPr>
      </w:pPr>
      <w:r w:rsidRPr="005440D4">
        <w:rPr>
          <w:rFonts w:ascii="Times New Roman" w:hAnsi="Times New Roman" w:cs="Times New Roman"/>
          <w:b/>
          <w:sz w:val="32"/>
          <w:szCs w:val="32"/>
          <w:lang w:val="ro-RO"/>
        </w:rPr>
        <w:t>Proiect privind exercitarea atribuțiilor specific funcției de Procuror General al Parchetului de pe lângă Înalta Curte de Casație și Justiție</w:t>
      </w:r>
    </w:p>
    <w:p w:rsidR="00DB3D82" w:rsidRDefault="00DB3D82" w:rsidP="00143D93">
      <w:pPr>
        <w:rPr>
          <w:rFonts w:ascii="Times New Roman" w:hAnsi="Times New Roman" w:cs="Times New Roman"/>
          <w:sz w:val="24"/>
          <w:szCs w:val="24"/>
        </w:rPr>
      </w:pPr>
    </w:p>
    <w:p w:rsidR="00DB3D82" w:rsidRDefault="00DB3D82" w:rsidP="00143D93">
      <w:pPr>
        <w:rPr>
          <w:rFonts w:ascii="Times New Roman" w:hAnsi="Times New Roman" w:cs="Times New Roman"/>
          <w:sz w:val="24"/>
          <w:szCs w:val="24"/>
        </w:rPr>
      </w:pPr>
    </w:p>
    <w:p w:rsidR="00DB3D82" w:rsidRDefault="00DB3D82" w:rsidP="00143D93">
      <w:pPr>
        <w:rPr>
          <w:rFonts w:ascii="Times New Roman" w:hAnsi="Times New Roman" w:cs="Times New Roman"/>
          <w:sz w:val="24"/>
          <w:szCs w:val="24"/>
        </w:rPr>
      </w:pPr>
    </w:p>
    <w:p w:rsidR="00DB3D82" w:rsidRDefault="00DB3D82" w:rsidP="00143D93">
      <w:pPr>
        <w:rPr>
          <w:rFonts w:ascii="Times New Roman" w:hAnsi="Times New Roman" w:cs="Times New Roman"/>
          <w:sz w:val="24"/>
          <w:szCs w:val="24"/>
        </w:rPr>
      </w:pPr>
    </w:p>
    <w:p w:rsidR="00DB3D82" w:rsidRDefault="00DB3D82" w:rsidP="00143D93">
      <w:pPr>
        <w:rPr>
          <w:rFonts w:ascii="Times New Roman" w:hAnsi="Times New Roman" w:cs="Times New Roman"/>
          <w:sz w:val="24"/>
          <w:szCs w:val="24"/>
        </w:rPr>
      </w:pPr>
    </w:p>
    <w:p w:rsidR="00DB3D82" w:rsidRDefault="00DB3D82" w:rsidP="00143D93">
      <w:pPr>
        <w:rPr>
          <w:rFonts w:ascii="Times New Roman" w:hAnsi="Times New Roman" w:cs="Times New Roman"/>
          <w:sz w:val="24"/>
          <w:szCs w:val="24"/>
        </w:rPr>
      </w:pPr>
    </w:p>
    <w:p w:rsidR="005440D4" w:rsidRPr="00A70C96" w:rsidRDefault="00A70C96" w:rsidP="00A70C96">
      <w:pPr>
        <w:tabs>
          <w:tab w:val="left" w:pos="5460"/>
        </w:tabs>
        <w:rPr>
          <w:rFonts w:ascii="Times New Roman" w:hAnsi="Times New Roman" w:cs="Times New Roman"/>
          <w:b/>
          <w:sz w:val="24"/>
          <w:szCs w:val="24"/>
        </w:rPr>
      </w:pPr>
      <w:r>
        <w:rPr>
          <w:rFonts w:ascii="Times New Roman" w:hAnsi="Times New Roman" w:cs="Times New Roman"/>
          <w:sz w:val="32"/>
          <w:szCs w:val="32"/>
        </w:rPr>
        <w:tab/>
      </w:r>
      <w:r w:rsidRPr="00A70C96">
        <w:rPr>
          <w:rFonts w:ascii="Times New Roman" w:hAnsi="Times New Roman" w:cs="Times New Roman"/>
          <w:b/>
          <w:sz w:val="32"/>
          <w:szCs w:val="32"/>
        </w:rPr>
        <w:t>Procuror</w:t>
      </w:r>
    </w:p>
    <w:p w:rsidR="005440D4" w:rsidRPr="00A70C96" w:rsidRDefault="005440D4" w:rsidP="005440D4">
      <w:pPr>
        <w:tabs>
          <w:tab w:val="left" w:pos="5460"/>
        </w:tabs>
        <w:rPr>
          <w:rFonts w:ascii="Times New Roman" w:hAnsi="Times New Roman" w:cs="Times New Roman"/>
          <w:b/>
          <w:sz w:val="32"/>
          <w:szCs w:val="32"/>
        </w:rPr>
      </w:pPr>
      <w:r w:rsidRPr="00A70C96">
        <w:rPr>
          <w:rFonts w:ascii="Times New Roman" w:hAnsi="Times New Roman" w:cs="Times New Roman"/>
          <w:b/>
          <w:sz w:val="24"/>
          <w:szCs w:val="24"/>
        </w:rPr>
        <w:tab/>
      </w:r>
      <w:r w:rsidRPr="00A70C96">
        <w:rPr>
          <w:rFonts w:ascii="Times New Roman" w:hAnsi="Times New Roman" w:cs="Times New Roman"/>
          <w:b/>
          <w:sz w:val="32"/>
          <w:szCs w:val="32"/>
        </w:rPr>
        <w:t>Daniel Horodniceanu</w:t>
      </w:r>
    </w:p>
    <w:p w:rsidR="005440D4" w:rsidRPr="005440D4" w:rsidRDefault="005440D4" w:rsidP="005440D4">
      <w:pPr>
        <w:tabs>
          <w:tab w:val="left" w:pos="5460"/>
        </w:tabs>
        <w:rPr>
          <w:rFonts w:ascii="Times New Roman" w:hAnsi="Times New Roman" w:cs="Times New Roman"/>
          <w:sz w:val="32"/>
          <w:szCs w:val="32"/>
        </w:rPr>
      </w:pPr>
      <w:r w:rsidRPr="005440D4">
        <w:rPr>
          <w:rFonts w:ascii="Times New Roman" w:hAnsi="Times New Roman" w:cs="Times New Roman"/>
          <w:sz w:val="32"/>
          <w:szCs w:val="32"/>
        </w:rPr>
        <w:tab/>
      </w:r>
      <w:r w:rsidRPr="005440D4">
        <w:rPr>
          <w:rFonts w:ascii="Times New Roman" w:hAnsi="Times New Roman" w:cs="Times New Roman"/>
          <w:sz w:val="32"/>
          <w:szCs w:val="32"/>
        </w:rPr>
        <w:tab/>
      </w:r>
      <w:r>
        <w:rPr>
          <w:rFonts w:ascii="Times New Roman" w:hAnsi="Times New Roman" w:cs="Times New Roman"/>
          <w:sz w:val="32"/>
          <w:szCs w:val="32"/>
        </w:rPr>
        <w:t xml:space="preserve">   </w:t>
      </w:r>
    </w:p>
    <w:p w:rsidR="005440D4" w:rsidRDefault="005440D4" w:rsidP="00BA212C">
      <w:pPr>
        <w:jc w:val="center"/>
        <w:rPr>
          <w:rFonts w:ascii="Times New Roman" w:hAnsi="Times New Roman" w:cs="Times New Roman"/>
          <w:sz w:val="24"/>
          <w:szCs w:val="24"/>
        </w:rPr>
      </w:pPr>
    </w:p>
    <w:p w:rsidR="005440D4" w:rsidRDefault="005440D4" w:rsidP="00BA212C">
      <w:pPr>
        <w:jc w:val="center"/>
        <w:rPr>
          <w:rFonts w:ascii="Times New Roman" w:hAnsi="Times New Roman" w:cs="Times New Roman"/>
          <w:sz w:val="24"/>
          <w:szCs w:val="24"/>
        </w:rPr>
      </w:pPr>
    </w:p>
    <w:p w:rsidR="005440D4" w:rsidRDefault="005440D4" w:rsidP="00BA212C">
      <w:pPr>
        <w:jc w:val="center"/>
        <w:rPr>
          <w:rFonts w:ascii="Times New Roman" w:hAnsi="Times New Roman" w:cs="Times New Roman"/>
          <w:sz w:val="24"/>
          <w:szCs w:val="24"/>
        </w:rPr>
      </w:pPr>
    </w:p>
    <w:p w:rsidR="00A70C96" w:rsidRDefault="00A70C96" w:rsidP="005440D4">
      <w:pPr>
        <w:tabs>
          <w:tab w:val="left" w:pos="3900"/>
        </w:tabs>
        <w:jc w:val="center"/>
        <w:rPr>
          <w:rFonts w:ascii="Times New Roman" w:hAnsi="Times New Roman" w:cs="Times New Roman"/>
          <w:b/>
          <w:sz w:val="32"/>
          <w:szCs w:val="32"/>
        </w:rPr>
      </w:pPr>
    </w:p>
    <w:p w:rsidR="00A70C96" w:rsidRDefault="00A70C96" w:rsidP="005440D4">
      <w:pPr>
        <w:tabs>
          <w:tab w:val="left" w:pos="3900"/>
        </w:tabs>
        <w:jc w:val="center"/>
        <w:rPr>
          <w:rFonts w:ascii="Times New Roman" w:hAnsi="Times New Roman" w:cs="Times New Roman"/>
          <w:b/>
          <w:sz w:val="32"/>
          <w:szCs w:val="32"/>
        </w:rPr>
      </w:pPr>
    </w:p>
    <w:p w:rsidR="005440D4" w:rsidRPr="005440D4" w:rsidRDefault="005440D4" w:rsidP="005440D4">
      <w:pPr>
        <w:tabs>
          <w:tab w:val="left" w:pos="3900"/>
        </w:tabs>
        <w:jc w:val="center"/>
        <w:rPr>
          <w:rFonts w:ascii="Times New Roman" w:hAnsi="Times New Roman" w:cs="Times New Roman"/>
          <w:b/>
          <w:sz w:val="32"/>
          <w:szCs w:val="32"/>
        </w:rPr>
      </w:pPr>
      <w:r w:rsidRPr="005440D4">
        <w:rPr>
          <w:rFonts w:ascii="Times New Roman" w:hAnsi="Times New Roman" w:cs="Times New Roman"/>
          <w:b/>
          <w:sz w:val="32"/>
          <w:szCs w:val="32"/>
        </w:rPr>
        <w:t>Iași</w:t>
      </w:r>
    </w:p>
    <w:p w:rsidR="005440D4" w:rsidRPr="005440D4" w:rsidRDefault="00FC6CC7" w:rsidP="005440D4">
      <w:pPr>
        <w:tabs>
          <w:tab w:val="left" w:pos="3900"/>
        </w:tabs>
        <w:jc w:val="center"/>
        <w:rPr>
          <w:rFonts w:ascii="Times New Roman" w:hAnsi="Times New Roman" w:cs="Times New Roman"/>
          <w:b/>
          <w:sz w:val="32"/>
          <w:szCs w:val="32"/>
        </w:rPr>
      </w:pPr>
      <w:r>
        <w:rPr>
          <w:rFonts w:ascii="Times New Roman" w:hAnsi="Times New Roman" w:cs="Times New Roman"/>
          <w:b/>
          <w:sz w:val="32"/>
          <w:szCs w:val="32"/>
        </w:rPr>
        <w:t>- Martie 2019</w:t>
      </w:r>
      <w:bookmarkStart w:id="0" w:name="_GoBack"/>
      <w:bookmarkEnd w:id="0"/>
      <w:r w:rsidR="005440D4" w:rsidRPr="005440D4">
        <w:rPr>
          <w:rFonts w:ascii="Times New Roman" w:hAnsi="Times New Roman" w:cs="Times New Roman"/>
          <w:b/>
          <w:sz w:val="32"/>
          <w:szCs w:val="32"/>
        </w:rPr>
        <w:t xml:space="preserve"> -</w:t>
      </w:r>
    </w:p>
    <w:p w:rsidR="005440D4" w:rsidRPr="005440D4" w:rsidRDefault="005440D4" w:rsidP="00BA212C">
      <w:pPr>
        <w:jc w:val="center"/>
        <w:rPr>
          <w:rFonts w:ascii="Times New Roman" w:hAnsi="Times New Roman" w:cs="Times New Roman"/>
          <w:b/>
          <w:sz w:val="32"/>
          <w:szCs w:val="32"/>
        </w:rPr>
      </w:pPr>
    </w:p>
    <w:p w:rsidR="005440D4" w:rsidRDefault="005440D4" w:rsidP="00BA212C">
      <w:pPr>
        <w:jc w:val="center"/>
        <w:rPr>
          <w:rFonts w:ascii="Times New Roman" w:hAnsi="Times New Roman" w:cs="Times New Roman"/>
          <w:sz w:val="24"/>
          <w:szCs w:val="24"/>
        </w:rPr>
      </w:pPr>
    </w:p>
    <w:p w:rsidR="005440D4" w:rsidRDefault="005440D4" w:rsidP="00BA212C">
      <w:pPr>
        <w:jc w:val="center"/>
        <w:rPr>
          <w:rFonts w:ascii="Times New Roman" w:hAnsi="Times New Roman" w:cs="Times New Roman"/>
          <w:sz w:val="24"/>
          <w:szCs w:val="24"/>
        </w:rPr>
      </w:pPr>
    </w:p>
    <w:p w:rsidR="005440D4" w:rsidRDefault="005440D4" w:rsidP="00BA212C">
      <w:pPr>
        <w:jc w:val="center"/>
        <w:rPr>
          <w:rFonts w:ascii="Times New Roman" w:hAnsi="Times New Roman" w:cs="Times New Roman"/>
          <w:sz w:val="24"/>
          <w:szCs w:val="24"/>
        </w:rPr>
      </w:pPr>
    </w:p>
    <w:p w:rsidR="005440D4" w:rsidRDefault="005440D4" w:rsidP="00BA212C">
      <w:pPr>
        <w:jc w:val="center"/>
        <w:rPr>
          <w:rFonts w:ascii="Times New Roman" w:hAnsi="Times New Roman" w:cs="Times New Roman"/>
          <w:sz w:val="24"/>
          <w:szCs w:val="24"/>
        </w:rPr>
      </w:pPr>
    </w:p>
    <w:p w:rsidR="005440D4" w:rsidRDefault="005440D4" w:rsidP="00BA212C">
      <w:pPr>
        <w:jc w:val="center"/>
        <w:rPr>
          <w:rFonts w:ascii="Times New Roman" w:hAnsi="Times New Roman" w:cs="Times New Roman"/>
          <w:sz w:val="24"/>
          <w:szCs w:val="24"/>
        </w:rPr>
      </w:pPr>
    </w:p>
    <w:p w:rsidR="005440D4" w:rsidRDefault="005440D4" w:rsidP="00BA212C">
      <w:pPr>
        <w:jc w:val="center"/>
        <w:rPr>
          <w:rFonts w:ascii="Times New Roman" w:hAnsi="Times New Roman" w:cs="Times New Roman"/>
          <w:sz w:val="24"/>
          <w:szCs w:val="24"/>
        </w:rPr>
      </w:pPr>
    </w:p>
    <w:p w:rsidR="005440D4" w:rsidRDefault="005440D4" w:rsidP="00BA212C">
      <w:pPr>
        <w:jc w:val="center"/>
        <w:rPr>
          <w:rFonts w:ascii="Times New Roman" w:hAnsi="Times New Roman" w:cs="Times New Roman"/>
          <w:sz w:val="24"/>
          <w:szCs w:val="24"/>
        </w:rPr>
      </w:pPr>
    </w:p>
    <w:p w:rsidR="005440D4" w:rsidRDefault="005440D4" w:rsidP="00BA212C">
      <w:pPr>
        <w:jc w:val="center"/>
        <w:rPr>
          <w:rFonts w:ascii="Times New Roman" w:hAnsi="Times New Roman" w:cs="Times New Roman"/>
          <w:sz w:val="24"/>
          <w:szCs w:val="24"/>
        </w:rPr>
      </w:pPr>
    </w:p>
    <w:p w:rsidR="005440D4" w:rsidRPr="005440D4" w:rsidRDefault="005440D4" w:rsidP="005440D4">
      <w:pPr>
        <w:jc w:val="center"/>
        <w:rPr>
          <w:rFonts w:ascii="Times New Roman" w:hAnsi="Times New Roman" w:cs="Times New Roman"/>
          <w:sz w:val="24"/>
          <w:szCs w:val="24"/>
          <w:lang w:val="ro-RO"/>
        </w:rPr>
      </w:pPr>
      <w:r w:rsidRPr="005440D4">
        <w:rPr>
          <w:rFonts w:ascii="Times New Roman" w:hAnsi="Times New Roman" w:cs="Times New Roman"/>
          <w:sz w:val="24"/>
          <w:szCs w:val="24"/>
        </w:rPr>
        <w:t>”</w:t>
      </w:r>
      <w:r w:rsidRPr="005440D4">
        <w:rPr>
          <w:rFonts w:ascii="Times New Roman" w:hAnsi="Times New Roman" w:cs="Times New Roman"/>
          <w:sz w:val="24"/>
          <w:szCs w:val="24"/>
          <w:lang w:val="ro-RO"/>
        </w:rPr>
        <w:t>Comisia observă o tendinţă larg răspândită de a permite o independenţă sporită a Ministerului Public, în opoziţie cu cea de a-l subordona sau asocia cu executivul (...).</w:t>
      </w:r>
    </w:p>
    <w:p w:rsidR="005440D4" w:rsidRPr="005440D4" w:rsidRDefault="005440D4" w:rsidP="005440D4">
      <w:pPr>
        <w:jc w:val="center"/>
        <w:rPr>
          <w:rFonts w:ascii="Times New Roman" w:hAnsi="Times New Roman" w:cs="Times New Roman"/>
          <w:sz w:val="24"/>
          <w:szCs w:val="24"/>
          <w:lang w:val="ro-RO"/>
        </w:rPr>
      </w:pPr>
      <w:r w:rsidRPr="005440D4">
        <w:rPr>
          <w:rFonts w:ascii="Times New Roman" w:hAnsi="Times New Roman" w:cs="Times New Roman"/>
          <w:sz w:val="24"/>
          <w:szCs w:val="24"/>
          <w:lang w:val="ro-RO"/>
        </w:rPr>
        <w:t>Principiul fundamental care trebuie să guverneze sistemul tragerii la răspundere penală într-un stat este acela al independenţei complete a acestuia, principiu mai important decât orice alte consideraţii administrative sau de altă natură. Doar atunci când independenţa sistemului este garantată şi protejată de lege, încrederea publică în sistem va fi dobândită, ceea ce este esenţial în orice societate sănătoasă".</w:t>
      </w:r>
    </w:p>
    <w:p w:rsidR="005440D4" w:rsidRPr="005440D4" w:rsidRDefault="005440D4" w:rsidP="005440D4">
      <w:pPr>
        <w:jc w:val="center"/>
        <w:rPr>
          <w:rFonts w:ascii="Times New Roman" w:hAnsi="Times New Roman" w:cs="Times New Roman"/>
          <w:sz w:val="24"/>
          <w:szCs w:val="24"/>
          <w:lang w:val="ro-RO"/>
        </w:rPr>
      </w:pPr>
    </w:p>
    <w:p w:rsidR="005440D4" w:rsidRPr="005440D4" w:rsidRDefault="005440D4" w:rsidP="005440D4">
      <w:pPr>
        <w:jc w:val="center"/>
        <w:rPr>
          <w:rFonts w:ascii="Times New Roman" w:hAnsi="Times New Roman" w:cs="Times New Roman"/>
          <w:sz w:val="24"/>
          <w:szCs w:val="24"/>
          <w:lang w:val="ro-RO"/>
        </w:rPr>
      </w:pPr>
    </w:p>
    <w:p w:rsidR="005440D4" w:rsidRPr="005440D4" w:rsidRDefault="005440D4" w:rsidP="005440D4">
      <w:pPr>
        <w:jc w:val="center"/>
        <w:rPr>
          <w:rFonts w:ascii="Times New Roman" w:hAnsi="Times New Roman" w:cs="Times New Roman"/>
          <w:sz w:val="24"/>
          <w:szCs w:val="24"/>
          <w:lang w:val="ro-RO"/>
        </w:rPr>
      </w:pPr>
      <w:r w:rsidRPr="005440D4">
        <w:rPr>
          <w:rFonts w:ascii="Times New Roman" w:hAnsi="Times New Roman" w:cs="Times New Roman"/>
          <w:sz w:val="24"/>
          <w:szCs w:val="24"/>
          <w:lang w:val="ro-RO"/>
        </w:rPr>
        <w:tab/>
        <w:t>Comisia de la Veneția</w:t>
      </w:r>
    </w:p>
    <w:p w:rsidR="005440D4" w:rsidRPr="005440D4" w:rsidRDefault="005440D4" w:rsidP="00BA212C">
      <w:pPr>
        <w:jc w:val="center"/>
        <w:rPr>
          <w:rFonts w:ascii="Times New Roman" w:hAnsi="Times New Roman" w:cs="Times New Roman"/>
          <w:sz w:val="24"/>
          <w:szCs w:val="24"/>
          <w:lang w:val="ro-RO"/>
        </w:rPr>
      </w:pPr>
    </w:p>
    <w:p w:rsidR="005440D4" w:rsidRPr="005440D4" w:rsidRDefault="005440D4" w:rsidP="00BA212C">
      <w:pPr>
        <w:jc w:val="center"/>
        <w:rPr>
          <w:rFonts w:ascii="Times New Roman" w:hAnsi="Times New Roman" w:cs="Times New Roman"/>
          <w:sz w:val="24"/>
          <w:szCs w:val="24"/>
          <w:lang w:val="ro-RO"/>
        </w:rPr>
      </w:pPr>
    </w:p>
    <w:p w:rsidR="005440D4" w:rsidRPr="005440D4" w:rsidRDefault="005440D4" w:rsidP="00BA212C">
      <w:pPr>
        <w:jc w:val="center"/>
        <w:rPr>
          <w:rFonts w:ascii="Times New Roman" w:hAnsi="Times New Roman" w:cs="Times New Roman"/>
          <w:sz w:val="24"/>
          <w:szCs w:val="24"/>
          <w:lang w:val="ro-RO"/>
        </w:rPr>
      </w:pPr>
    </w:p>
    <w:p w:rsidR="005440D4" w:rsidRDefault="005440D4" w:rsidP="00BA212C">
      <w:pPr>
        <w:jc w:val="center"/>
        <w:rPr>
          <w:rFonts w:ascii="Times New Roman" w:hAnsi="Times New Roman" w:cs="Times New Roman"/>
          <w:sz w:val="24"/>
          <w:szCs w:val="24"/>
        </w:rPr>
      </w:pPr>
    </w:p>
    <w:p w:rsidR="005440D4" w:rsidRDefault="005440D4" w:rsidP="00BA212C">
      <w:pPr>
        <w:jc w:val="center"/>
        <w:rPr>
          <w:rFonts w:ascii="Times New Roman" w:hAnsi="Times New Roman" w:cs="Times New Roman"/>
          <w:sz w:val="24"/>
          <w:szCs w:val="24"/>
        </w:rPr>
      </w:pPr>
    </w:p>
    <w:p w:rsidR="005440D4" w:rsidRDefault="005440D4" w:rsidP="00BA212C">
      <w:pPr>
        <w:jc w:val="center"/>
        <w:rPr>
          <w:rFonts w:ascii="Times New Roman" w:hAnsi="Times New Roman" w:cs="Times New Roman"/>
          <w:sz w:val="24"/>
          <w:szCs w:val="24"/>
        </w:rPr>
      </w:pPr>
    </w:p>
    <w:p w:rsidR="005440D4" w:rsidRDefault="005440D4" w:rsidP="00BA212C">
      <w:pPr>
        <w:jc w:val="center"/>
        <w:rPr>
          <w:rFonts w:ascii="Times New Roman" w:hAnsi="Times New Roman" w:cs="Times New Roman"/>
          <w:sz w:val="24"/>
          <w:szCs w:val="24"/>
        </w:rPr>
      </w:pPr>
    </w:p>
    <w:p w:rsidR="005440D4" w:rsidRDefault="005440D4" w:rsidP="00BA212C">
      <w:pPr>
        <w:jc w:val="center"/>
        <w:rPr>
          <w:rFonts w:ascii="Times New Roman" w:hAnsi="Times New Roman" w:cs="Times New Roman"/>
          <w:sz w:val="24"/>
          <w:szCs w:val="24"/>
        </w:rPr>
      </w:pPr>
    </w:p>
    <w:p w:rsidR="005440D4" w:rsidRDefault="005440D4" w:rsidP="00BA212C">
      <w:pPr>
        <w:jc w:val="center"/>
        <w:rPr>
          <w:rFonts w:ascii="Times New Roman" w:hAnsi="Times New Roman" w:cs="Times New Roman"/>
          <w:sz w:val="24"/>
          <w:szCs w:val="24"/>
        </w:rPr>
      </w:pPr>
    </w:p>
    <w:p w:rsidR="006266A5" w:rsidRDefault="006266A5" w:rsidP="00BA212C">
      <w:pPr>
        <w:jc w:val="center"/>
        <w:rPr>
          <w:rFonts w:ascii="Times New Roman" w:hAnsi="Times New Roman" w:cs="Times New Roman"/>
          <w:sz w:val="24"/>
          <w:szCs w:val="24"/>
        </w:rPr>
      </w:pPr>
      <w:r>
        <w:rPr>
          <w:rFonts w:ascii="Times New Roman" w:hAnsi="Times New Roman" w:cs="Times New Roman"/>
          <w:sz w:val="24"/>
          <w:szCs w:val="24"/>
        </w:rPr>
        <w:br w:type="page"/>
      </w:r>
    </w:p>
    <w:p w:rsidR="005440D4" w:rsidRDefault="005440D4" w:rsidP="00BA212C">
      <w:pPr>
        <w:jc w:val="center"/>
        <w:rPr>
          <w:rFonts w:ascii="Times New Roman" w:hAnsi="Times New Roman" w:cs="Times New Roman"/>
          <w:sz w:val="24"/>
          <w:szCs w:val="24"/>
        </w:rPr>
      </w:pPr>
    </w:p>
    <w:p w:rsidR="00DB3D82" w:rsidRPr="00516863" w:rsidRDefault="00BA212C" w:rsidP="00BA212C">
      <w:pPr>
        <w:jc w:val="center"/>
        <w:rPr>
          <w:rFonts w:ascii="Times New Roman" w:hAnsi="Times New Roman" w:cs="Times New Roman"/>
          <w:b/>
          <w:sz w:val="24"/>
          <w:szCs w:val="24"/>
        </w:rPr>
      </w:pPr>
      <w:r w:rsidRPr="00516863">
        <w:rPr>
          <w:rFonts w:ascii="Times New Roman" w:hAnsi="Times New Roman" w:cs="Times New Roman"/>
          <w:b/>
          <w:sz w:val="24"/>
          <w:szCs w:val="24"/>
        </w:rPr>
        <w:t>CUPRINS:</w:t>
      </w:r>
    </w:p>
    <w:p w:rsidR="00C413D4" w:rsidRDefault="00466DE0" w:rsidP="00C413D4">
      <w:pPr>
        <w:tabs>
          <w:tab w:val="left" w:pos="1290"/>
        </w:tabs>
        <w:rPr>
          <w:rFonts w:ascii="Times New Roman" w:hAnsi="Times New Roman" w:cs="Times New Roman"/>
          <w:sz w:val="24"/>
          <w:szCs w:val="24"/>
        </w:rPr>
      </w:pPr>
      <w:r>
        <w:rPr>
          <w:rFonts w:ascii="Times New Roman" w:hAnsi="Times New Roman" w:cs="Times New Roman"/>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716"/>
      </w:tblGrid>
      <w:tr w:rsidR="00C413D4" w:rsidTr="00516863">
        <w:tc>
          <w:tcPr>
            <w:tcW w:w="1526" w:type="dxa"/>
          </w:tcPr>
          <w:p w:rsidR="00C413D4" w:rsidRPr="00516863" w:rsidRDefault="00DA68AB" w:rsidP="00C413D4">
            <w:pPr>
              <w:tabs>
                <w:tab w:val="left" w:pos="1290"/>
              </w:tabs>
              <w:rPr>
                <w:rFonts w:ascii="Times New Roman" w:hAnsi="Times New Roman" w:cs="Times New Roman"/>
                <w:b/>
                <w:sz w:val="24"/>
                <w:szCs w:val="24"/>
                <w:lang w:val="ro-RO"/>
              </w:rPr>
            </w:pPr>
            <w:r w:rsidRPr="00516863">
              <w:rPr>
                <w:rFonts w:ascii="Times New Roman" w:hAnsi="Times New Roman" w:cs="Times New Roman"/>
                <w:b/>
                <w:sz w:val="24"/>
                <w:szCs w:val="24"/>
                <w:lang w:val="ro-RO"/>
              </w:rPr>
              <w:t>Premisă</w:t>
            </w:r>
          </w:p>
          <w:p w:rsidR="00516863" w:rsidRPr="00516863" w:rsidRDefault="00516863" w:rsidP="00C413D4">
            <w:pPr>
              <w:tabs>
                <w:tab w:val="left" w:pos="1290"/>
              </w:tabs>
              <w:rPr>
                <w:rFonts w:ascii="Times New Roman" w:hAnsi="Times New Roman" w:cs="Times New Roman"/>
                <w:sz w:val="24"/>
                <w:szCs w:val="24"/>
              </w:rPr>
            </w:pPr>
          </w:p>
        </w:tc>
        <w:tc>
          <w:tcPr>
            <w:tcW w:w="7716" w:type="dxa"/>
          </w:tcPr>
          <w:p w:rsidR="00C413D4" w:rsidRPr="00516863" w:rsidRDefault="00C413D4" w:rsidP="00C413D4">
            <w:pPr>
              <w:tabs>
                <w:tab w:val="left" w:pos="1290"/>
              </w:tabs>
              <w:rPr>
                <w:rFonts w:ascii="Times New Roman" w:hAnsi="Times New Roman" w:cs="Times New Roman"/>
                <w:sz w:val="24"/>
                <w:szCs w:val="24"/>
              </w:rPr>
            </w:pPr>
          </w:p>
        </w:tc>
      </w:tr>
      <w:tr w:rsidR="00C413D4" w:rsidTr="00516863">
        <w:tc>
          <w:tcPr>
            <w:tcW w:w="1526" w:type="dxa"/>
          </w:tcPr>
          <w:p w:rsidR="00C413D4" w:rsidRPr="00516863" w:rsidRDefault="00C413D4" w:rsidP="00516863">
            <w:pPr>
              <w:tabs>
                <w:tab w:val="left" w:pos="1290"/>
              </w:tabs>
              <w:spacing w:line="360" w:lineRule="auto"/>
              <w:rPr>
                <w:rFonts w:ascii="Times New Roman" w:hAnsi="Times New Roman" w:cs="Times New Roman"/>
                <w:sz w:val="24"/>
                <w:szCs w:val="24"/>
              </w:rPr>
            </w:pPr>
            <w:r w:rsidRPr="00516863">
              <w:rPr>
                <w:rFonts w:ascii="Times New Roman" w:hAnsi="Times New Roman" w:cs="Times New Roman"/>
                <w:b/>
                <w:sz w:val="24"/>
                <w:szCs w:val="24"/>
                <w:lang w:val="ro-RO"/>
              </w:rPr>
              <w:t>Capitolul I</w:t>
            </w:r>
          </w:p>
        </w:tc>
        <w:tc>
          <w:tcPr>
            <w:tcW w:w="7716" w:type="dxa"/>
          </w:tcPr>
          <w:p w:rsidR="00C413D4" w:rsidRPr="00516863" w:rsidRDefault="00C413D4" w:rsidP="00516863">
            <w:pPr>
              <w:tabs>
                <w:tab w:val="left" w:pos="1290"/>
              </w:tabs>
              <w:spacing w:line="360" w:lineRule="auto"/>
              <w:rPr>
                <w:rFonts w:ascii="Times New Roman" w:hAnsi="Times New Roman" w:cs="Times New Roman"/>
                <w:sz w:val="24"/>
                <w:szCs w:val="24"/>
              </w:rPr>
            </w:pPr>
            <w:r w:rsidRPr="00516863">
              <w:rPr>
                <w:rFonts w:ascii="Times New Roman" w:hAnsi="Times New Roman" w:cs="Times New Roman"/>
                <w:b/>
                <w:sz w:val="24"/>
                <w:szCs w:val="24"/>
                <w:lang w:val="ro-RO"/>
              </w:rPr>
              <w:t>Ministerul Public – între strategii naționale și analiza Mecanismului de Cooperare si Verificare</w:t>
            </w:r>
          </w:p>
        </w:tc>
      </w:tr>
      <w:tr w:rsidR="00C413D4" w:rsidTr="00516863">
        <w:tc>
          <w:tcPr>
            <w:tcW w:w="1526" w:type="dxa"/>
          </w:tcPr>
          <w:p w:rsidR="00C413D4" w:rsidRPr="00516863" w:rsidRDefault="00C413D4" w:rsidP="00516863">
            <w:pPr>
              <w:tabs>
                <w:tab w:val="left" w:pos="1290"/>
              </w:tabs>
              <w:spacing w:line="360" w:lineRule="auto"/>
              <w:rPr>
                <w:rFonts w:ascii="Times New Roman" w:hAnsi="Times New Roman" w:cs="Times New Roman"/>
                <w:sz w:val="24"/>
                <w:szCs w:val="24"/>
              </w:rPr>
            </w:pPr>
          </w:p>
        </w:tc>
        <w:tc>
          <w:tcPr>
            <w:tcW w:w="7716" w:type="dxa"/>
          </w:tcPr>
          <w:p w:rsidR="00C413D4" w:rsidRPr="009778A5" w:rsidRDefault="00C413D4" w:rsidP="00516863">
            <w:pPr>
              <w:tabs>
                <w:tab w:val="left" w:pos="1290"/>
              </w:tabs>
              <w:spacing w:line="360" w:lineRule="auto"/>
              <w:rPr>
                <w:rFonts w:ascii="Times New Roman" w:hAnsi="Times New Roman" w:cs="Times New Roman"/>
                <w:sz w:val="24"/>
                <w:szCs w:val="24"/>
              </w:rPr>
            </w:pPr>
            <w:r w:rsidRPr="009778A5">
              <w:rPr>
                <w:rFonts w:ascii="Times New Roman" w:hAnsi="Times New Roman" w:cs="Times New Roman"/>
                <w:sz w:val="24"/>
                <w:szCs w:val="24"/>
                <w:lang w:val="ro-RO"/>
              </w:rPr>
              <w:t>A. Strategii naționale de reformă anterioare instituirii MCV</w:t>
            </w:r>
          </w:p>
        </w:tc>
      </w:tr>
      <w:tr w:rsidR="00C413D4" w:rsidTr="00516863">
        <w:tc>
          <w:tcPr>
            <w:tcW w:w="1526" w:type="dxa"/>
          </w:tcPr>
          <w:p w:rsidR="00C413D4" w:rsidRPr="00516863" w:rsidRDefault="00C413D4" w:rsidP="00516863">
            <w:pPr>
              <w:tabs>
                <w:tab w:val="left" w:pos="1290"/>
              </w:tabs>
              <w:spacing w:line="360" w:lineRule="auto"/>
              <w:rPr>
                <w:rFonts w:ascii="Times New Roman" w:hAnsi="Times New Roman" w:cs="Times New Roman"/>
                <w:sz w:val="24"/>
                <w:szCs w:val="24"/>
              </w:rPr>
            </w:pPr>
          </w:p>
        </w:tc>
        <w:tc>
          <w:tcPr>
            <w:tcW w:w="7716" w:type="dxa"/>
          </w:tcPr>
          <w:p w:rsidR="00C413D4" w:rsidRPr="009778A5" w:rsidRDefault="00C413D4" w:rsidP="00516863">
            <w:pPr>
              <w:tabs>
                <w:tab w:val="left" w:pos="1290"/>
              </w:tabs>
              <w:spacing w:line="360" w:lineRule="auto"/>
              <w:rPr>
                <w:rFonts w:ascii="Times New Roman" w:hAnsi="Times New Roman" w:cs="Times New Roman"/>
                <w:sz w:val="24"/>
                <w:szCs w:val="24"/>
              </w:rPr>
            </w:pPr>
            <w:r w:rsidRPr="009778A5">
              <w:rPr>
                <w:rFonts w:ascii="Times New Roman" w:hAnsi="Times New Roman" w:cs="Times New Roman"/>
                <w:sz w:val="24"/>
                <w:szCs w:val="24"/>
                <w:lang w:val="ro-RO"/>
              </w:rPr>
              <w:t>B. Rapoartele MCV</w:t>
            </w:r>
          </w:p>
        </w:tc>
      </w:tr>
      <w:tr w:rsidR="00C413D4" w:rsidTr="00516863">
        <w:tc>
          <w:tcPr>
            <w:tcW w:w="1526" w:type="dxa"/>
          </w:tcPr>
          <w:p w:rsidR="00C413D4" w:rsidRPr="00516863" w:rsidRDefault="00C413D4" w:rsidP="00516863">
            <w:pPr>
              <w:tabs>
                <w:tab w:val="left" w:pos="1290"/>
              </w:tabs>
              <w:spacing w:line="360" w:lineRule="auto"/>
              <w:rPr>
                <w:rFonts w:ascii="Times New Roman" w:hAnsi="Times New Roman" w:cs="Times New Roman"/>
                <w:sz w:val="24"/>
                <w:szCs w:val="24"/>
              </w:rPr>
            </w:pPr>
          </w:p>
        </w:tc>
        <w:tc>
          <w:tcPr>
            <w:tcW w:w="7716" w:type="dxa"/>
          </w:tcPr>
          <w:p w:rsidR="00C413D4" w:rsidRPr="009778A5" w:rsidRDefault="00C413D4" w:rsidP="00516863">
            <w:pPr>
              <w:tabs>
                <w:tab w:val="left" w:pos="1290"/>
              </w:tabs>
              <w:spacing w:line="360" w:lineRule="auto"/>
              <w:rPr>
                <w:rFonts w:ascii="Times New Roman" w:hAnsi="Times New Roman" w:cs="Times New Roman"/>
                <w:sz w:val="24"/>
                <w:szCs w:val="24"/>
                <w:lang w:val="ro-RO"/>
              </w:rPr>
            </w:pPr>
            <w:r w:rsidRPr="009778A5">
              <w:rPr>
                <w:rFonts w:ascii="Times New Roman" w:hAnsi="Times New Roman" w:cs="Times New Roman"/>
                <w:sz w:val="24"/>
                <w:szCs w:val="24"/>
                <w:lang w:val="ro-RO"/>
              </w:rPr>
              <w:t>C. Strategii naţionale de dezvoltare post-instituire a Mecanismului de Cooperare şi Verificare</w:t>
            </w:r>
          </w:p>
          <w:p w:rsidR="00516863" w:rsidRPr="009778A5" w:rsidRDefault="00516863" w:rsidP="00516863">
            <w:pPr>
              <w:tabs>
                <w:tab w:val="left" w:pos="1290"/>
              </w:tabs>
              <w:spacing w:line="360" w:lineRule="auto"/>
              <w:rPr>
                <w:rFonts w:ascii="Times New Roman" w:hAnsi="Times New Roman" w:cs="Times New Roman"/>
                <w:sz w:val="24"/>
                <w:szCs w:val="24"/>
              </w:rPr>
            </w:pPr>
          </w:p>
        </w:tc>
      </w:tr>
      <w:tr w:rsidR="00C413D4" w:rsidTr="00516863">
        <w:tc>
          <w:tcPr>
            <w:tcW w:w="1526" w:type="dxa"/>
          </w:tcPr>
          <w:p w:rsidR="00C413D4" w:rsidRPr="00516863" w:rsidRDefault="00C413D4" w:rsidP="00516863">
            <w:pPr>
              <w:tabs>
                <w:tab w:val="left" w:pos="1290"/>
              </w:tabs>
              <w:spacing w:line="360" w:lineRule="auto"/>
              <w:rPr>
                <w:rFonts w:ascii="Times New Roman" w:hAnsi="Times New Roman" w:cs="Times New Roman"/>
                <w:sz w:val="24"/>
                <w:szCs w:val="24"/>
              </w:rPr>
            </w:pPr>
            <w:r w:rsidRPr="00516863">
              <w:rPr>
                <w:rFonts w:ascii="Times New Roman" w:hAnsi="Times New Roman" w:cs="Times New Roman"/>
                <w:b/>
                <w:sz w:val="24"/>
                <w:szCs w:val="24"/>
                <w:lang w:val="ro-RO"/>
              </w:rPr>
              <w:t xml:space="preserve">Capitolul II  </w:t>
            </w:r>
          </w:p>
        </w:tc>
        <w:tc>
          <w:tcPr>
            <w:tcW w:w="7716" w:type="dxa"/>
          </w:tcPr>
          <w:p w:rsidR="00C413D4" w:rsidRPr="00516863" w:rsidRDefault="00C413D4" w:rsidP="00516863">
            <w:pPr>
              <w:tabs>
                <w:tab w:val="left" w:pos="1290"/>
              </w:tabs>
              <w:spacing w:line="360" w:lineRule="auto"/>
              <w:rPr>
                <w:rFonts w:ascii="Times New Roman" w:hAnsi="Times New Roman" w:cs="Times New Roman"/>
                <w:b/>
                <w:sz w:val="24"/>
                <w:szCs w:val="24"/>
                <w:lang w:val="ro-RO"/>
              </w:rPr>
            </w:pPr>
            <w:r w:rsidRPr="00C413D4">
              <w:rPr>
                <w:rFonts w:ascii="Times New Roman" w:hAnsi="Times New Roman" w:cs="Times New Roman"/>
                <w:b/>
                <w:sz w:val="24"/>
                <w:szCs w:val="24"/>
                <w:lang w:val="ro-RO"/>
              </w:rPr>
              <w:t xml:space="preserve">Prezentarea generală a Ministerului Public, principii, atribuții, organizare </w:t>
            </w:r>
          </w:p>
        </w:tc>
      </w:tr>
      <w:tr w:rsidR="00C413D4" w:rsidTr="00516863">
        <w:tc>
          <w:tcPr>
            <w:tcW w:w="1526" w:type="dxa"/>
          </w:tcPr>
          <w:p w:rsidR="00C413D4" w:rsidRPr="00516863" w:rsidRDefault="00C413D4" w:rsidP="00516863">
            <w:pPr>
              <w:tabs>
                <w:tab w:val="left" w:pos="1290"/>
              </w:tabs>
              <w:spacing w:line="360" w:lineRule="auto"/>
              <w:rPr>
                <w:rFonts w:ascii="Times New Roman" w:hAnsi="Times New Roman" w:cs="Times New Roman"/>
                <w:sz w:val="24"/>
                <w:szCs w:val="24"/>
              </w:rPr>
            </w:pPr>
          </w:p>
        </w:tc>
        <w:tc>
          <w:tcPr>
            <w:tcW w:w="7716" w:type="dxa"/>
          </w:tcPr>
          <w:p w:rsidR="00C413D4" w:rsidRPr="009778A5" w:rsidRDefault="00516863" w:rsidP="00516863">
            <w:pPr>
              <w:tabs>
                <w:tab w:val="left" w:pos="1290"/>
              </w:tabs>
              <w:spacing w:line="360" w:lineRule="auto"/>
              <w:rPr>
                <w:rFonts w:ascii="Times New Roman" w:hAnsi="Times New Roman" w:cs="Times New Roman"/>
                <w:sz w:val="24"/>
                <w:szCs w:val="24"/>
              </w:rPr>
            </w:pPr>
            <w:r w:rsidRPr="009778A5">
              <w:rPr>
                <w:rFonts w:ascii="Times New Roman" w:hAnsi="Times New Roman" w:cs="Times New Roman"/>
                <w:sz w:val="24"/>
                <w:szCs w:val="24"/>
                <w:lang w:val="ro-RO"/>
              </w:rPr>
              <w:t xml:space="preserve">     </w:t>
            </w:r>
            <w:r w:rsidR="00DA68AB" w:rsidRPr="009778A5">
              <w:rPr>
                <w:rFonts w:ascii="Times New Roman" w:hAnsi="Times New Roman" w:cs="Times New Roman"/>
                <w:sz w:val="24"/>
                <w:szCs w:val="24"/>
                <w:lang w:val="ro-RO"/>
              </w:rPr>
              <w:t>A.Principii</w:t>
            </w:r>
          </w:p>
        </w:tc>
      </w:tr>
      <w:tr w:rsidR="00C413D4" w:rsidTr="00516863">
        <w:tc>
          <w:tcPr>
            <w:tcW w:w="1526" w:type="dxa"/>
          </w:tcPr>
          <w:p w:rsidR="00C413D4" w:rsidRPr="00516863" w:rsidRDefault="00C413D4" w:rsidP="00516863">
            <w:pPr>
              <w:tabs>
                <w:tab w:val="left" w:pos="1290"/>
              </w:tabs>
              <w:spacing w:line="360" w:lineRule="auto"/>
              <w:rPr>
                <w:rFonts w:ascii="Times New Roman" w:hAnsi="Times New Roman" w:cs="Times New Roman"/>
                <w:sz w:val="24"/>
                <w:szCs w:val="24"/>
              </w:rPr>
            </w:pPr>
          </w:p>
        </w:tc>
        <w:tc>
          <w:tcPr>
            <w:tcW w:w="7716" w:type="dxa"/>
          </w:tcPr>
          <w:p w:rsidR="00C413D4" w:rsidRPr="009778A5" w:rsidRDefault="00516863" w:rsidP="00516863">
            <w:pPr>
              <w:tabs>
                <w:tab w:val="left" w:pos="1290"/>
              </w:tabs>
              <w:spacing w:line="360" w:lineRule="auto"/>
              <w:rPr>
                <w:rFonts w:ascii="Times New Roman" w:hAnsi="Times New Roman" w:cs="Times New Roman"/>
                <w:sz w:val="24"/>
                <w:szCs w:val="24"/>
              </w:rPr>
            </w:pPr>
            <w:r w:rsidRPr="009778A5">
              <w:rPr>
                <w:rFonts w:ascii="Times New Roman" w:hAnsi="Times New Roman" w:cs="Times New Roman"/>
                <w:sz w:val="24"/>
                <w:szCs w:val="24"/>
                <w:lang w:val="ro-RO"/>
              </w:rPr>
              <w:t xml:space="preserve">     </w:t>
            </w:r>
            <w:r w:rsidR="00DA68AB" w:rsidRPr="009778A5">
              <w:rPr>
                <w:rFonts w:ascii="Times New Roman" w:hAnsi="Times New Roman" w:cs="Times New Roman"/>
                <w:sz w:val="24"/>
                <w:szCs w:val="24"/>
                <w:lang w:val="ro-RO"/>
              </w:rPr>
              <w:t>B. Atribuții și organizare</w:t>
            </w:r>
          </w:p>
        </w:tc>
      </w:tr>
      <w:tr w:rsidR="00DA68AB" w:rsidTr="00516863">
        <w:tc>
          <w:tcPr>
            <w:tcW w:w="1526" w:type="dxa"/>
          </w:tcPr>
          <w:p w:rsidR="00DA68AB" w:rsidRPr="00516863" w:rsidRDefault="00DA68AB" w:rsidP="00516863">
            <w:pPr>
              <w:tabs>
                <w:tab w:val="left" w:pos="1290"/>
              </w:tabs>
              <w:spacing w:line="360" w:lineRule="auto"/>
              <w:rPr>
                <w:rFonts w:ascii="Times New Roman" w:hAnsi="Times New Roman" w:cs="Times New Roman"/>
                <w:sz w:val="24"/>
                <w:szCs w:val="24"/>
              </w:rPr>
            </w:pPr>
          </w:p>
        </w:tc>
        <w:tc>
          <w:tcPr>
            <w:tcW w:w="7716" w:type="dxa"/>
          </w:tcPr>
          <w:p w:rsidR="00DA68AB" w:rsidRPr="009778A5" w:rsidRDefault="00516863" w:rsidP="00516863">
            <w:pPr>
              <w:tabs>
                <w:tab w:val="left" w:pos="1290"/>
              </w:tabs>
              <w:spacing w:line="360" w:lineRule="auto"/>
              <w:rPr>
                <w:rFonts w:ascii="Times New Roman" w:hAnsi="Times New Roman" w:cs="Times New Roman"/>
                <w:sz w:val="24"/>
                <w:szCs w:val="24"/>
                <w:lang w:val="ro-RO"/>
              </w:rPr>
            </w:pPr>
            <w:r w:rsidRPr="009778A5">
              <w:rPr>
                <w:rFonts w:ascii="Times New Roman" w:hAnsi="Times New Roman" w:cs="Times New Roman"/>
                <w:iCs/>
                <w:sz w:val="24"/>
                <w:szCs w:val="24"/>
                <w:lang w:val="ro-RO"/>
              </w:rPr>
              <w:t xml:space="preserve">     </w:t>
            </w:r>
            <w:r w:rsidR="00DA68AB" w:rsidRPr="009778A5">
              <w:rPr>
                <w:rFonts w:ascii="Times New Roman" w:hAnsi="Times New Roman" w:cs="Times New Roman"/>
                <w:iCs/>
                <w:sz w:val="24"/>
                <w:szCs w:val="24"/>
                <w:lang w:val="ro-RO"/>
              </w:rPr>
              <w:t>C. Structura Ministerului Public</w:t>
            </w:r>
          </w:p>
        </w:tc>
      </w:tr>
      <w:tr w:rsidR="00DA68AB" w:rsidTr="00516863">
        <w:tc>
          <w:tcPr>
            <w:tcW w:w="1526" w:type="dxa"/>
          </w:tcPr>
          <w:p w:rsidR="00DA68AB" w:rsidRPr="00516863" w:rsidRDefault="00DA68AB" w:rsidP="00516863">
            <w:pPr>
              <w:tabs>
                <w:tab w:val="left" w:pos="1290"/>
              </w:tabs>
              <w:spacing w:line="360" w:lineRule="auto"/>
              <w:rPr>
                <w:rFonts w:ascii="Times New Roman" w:hAnsi="Times New Roman" w:cs="Times New Roman"/>
                <w:sz w:val="24"/>
                <w:szCs w:val="24"/>
              </w:rPr>
            </w:pPr>
          </w:p>
        </w:tc>
        <w:tc>
          <w:tcPr>
            <w:tcW w:w="7716" w:type="dxa"/>
          </w:tcPr>
          <w:p w:rsidR="00DA68AB" w:rsidRPr="009778A5" w:rsidRDefault="00516863" w:rsidP="00516863">
            <w:pPr>
              <w:tabs>
                <w:tab w:val="left" w:pos="1290"/>
              </w:tabs>
              <w:spacing w:line="360" w:lineRule="auto"/>
              <w:rPr>
                <w:rFonts w:ascii="Times New Roman" w:hAnsi="Times New Roman" w:cs="Times New Roman"/>
                <w:iCs/>
                <w:sz w:val="24"/>
                <w:szCs w:val="24"/>
                <w:lang w:val="ro-RO"/>
              </w:rPr>
            </w:pPr>
            <w:r w:rsidRPr="009778A5">
              <w:rPr>
                <w:rFonts w:ascii="Times New Roman" w:hAnsi="Times New Roman" w:cs="Times New Roman"/>
                <w:iCs/>
                <w:sz w:val="24"/>
                <w:szCs w:val="24"/>
                <w:lang w:val="ro-RO"/>
              </w:rPr>
              <w:t xml:space="preserve">     </w:t>
            </w:r>
            <w:r w:rsidR="00DA68AB" w:rsidRPr="00DA68AB">
              <w:rPr>
                <w:rFonts w:ascii="Times New Roman" w:hAnsi="Times New Roman" w:cs="Times New Roman"/>
                <w:iCs/>
                <w:sz w:val="24"/>
                <w:szCs w:val="24"/>
                <w:lang w:val="ro-RO"/>
              </w:rPr>
              <w:t xml:space="preserve">D. Procurorul General al Parchetului de pe lângă Înalta Curte de </w:t>
            </w:r>
            <w:r w:rsidRPr="009778A5">
              <w:rPr>
                <w:rFonts w:ascii="Times New Roman" w:hAnsi="Times New Roman" w:cs="Times New Roman"/>
                <w:iCs/>
                <w:sz w:val="24"/>
                <w:szCs w:val="24"/>
                <w:lang w:val="ro-RO"/>
              </w:rPr>
              <w:t xml:space="preserve">                           </w:t>
            </w:r>
            <w:r w:rsidR="00DA68AB" w:rsidRPr="00DA68AB">
              <w:rPr>
                <w:rFonts w:ascii="Times New Roman" w:hAnsi="Times New Roman" w:cs="Times New Roman"/>
                <w:iCs/>
                <w:sz w:val="24"/>
                <w:szCs w:val="24"/>
                <w:lang w:val="ro-RO"/>
              </w:rPr>
              <w:t>Casație și Justiție</w:t>
            </w:r>
          </w:p>
        </w:tc>
      </w:tr>
      <w:tr w:rsidR="00DA68AB" w:rsidTr="00516863">
        <w:tc>
          <w:tcPr>
            <w:tcW w:w="1526" w:type="dxa"/>
          </w:tcPr>
          <w:p w:rsidR="00DA68AB" w:rsidRPr="00516863" w:rsidRDefault="00DA68AB" w:rsidP="00516863">
            <w:pPr>
              <w:tabs>
                <w:tab w:val="left" w:pos="1290"/>
              </w:tabs>
              <w:spacing w:line="360" w:lineRule="auto"/>
              <w:rPr>
                <w:rFonts w:ascii="Times New Roman" w:hAnsi="Times New Roman" w:cs="Times New Roman"/>
                <w:sz w:val="24"/>
                <w:szCs w:val="24"/>
              </w:rPr>
            </w:pPr>
          </w:p>
        </w:tc>
        <w:tc>
          <w:tcPr>
            <w:tcW w:w="7716" w:type="dxa"/>
          </w:tcPr>
          <w:p w:rsidR="00DA68AB" w:rsidRPr="009778A5" w:rsidRDefault="00516863" w:rsidP="00516863">
            <w:pPr>
              <w:tabs>
                <w:tab w:val="left" w:pos="1290"/>
              </w:tabs>
              <w:spacing w:line="360" w:lineRule="auto"/>
              <w:rPr>
                <w:rFonts w:ascii="Times New Roman" w:hAnsi="Times New Roman" w:cs="Times New Roman"/>
                <w:sz w:val="24"/>
                <w:szCs w:val="24"/>
              </w:rPr>
            </w:pPr>
            <w:r w:rsidRPr="009778A5">
              <w:rPr>
                <w:rFonts w:ascii="Times New Roman" w:hAnsi="Times New Roman" w:cs="Times New Roman"/>
                <w:sz w:val="24"/>
                <w:szCs w:val="24"/>
              </w:rPr>
              <w:t xml:space="preserve">     </w:t>
            </w:r>
            <w:r w:rsidR="00DA68AB" w:rsidRPr="00DA68AB">
              <w:rPr>
                <w:rFonts w:ascii="Times New Roman" w:hAnsi="Times New Roman" w:cs="Times New Roman"/>
                <w:sz w:val="24"/>
                <w:szCs w:val="24"/>
              </w:rPr>
              <w:t xml:space="preserve">E. </w:t>
            </w:r>
            <w:r w:rsidR="00DA68AB" w:rsidRPr="00D739A9">
              <w:rPr>
                <w:rFonts w:ascii="Times New Roman" w:hAnsi="Times New Roman" w:cs="Times New Roman"/>
                <w:sz w:val="24"/>
                <w:szCs w:val="24"/>
                <w:lang w:val="ro-RO"/>
              </w:rPr>
              <w:t>Raportul de activitate pe anul 2018 al Ministerului Public</w:t>
            </w:r>
            <w:r w:rsidR="00DA68AB" w:rsidRPr="00DA68AB">
              <w:rPr>
                <w:rFonts w:ascii="Times New Roman" w:hAnsi="Times New Roman" w:cs="Times New Roman"/>
                <w:sz w:val="24"/>
                <w:szCs w:val="24"/>
              </w:rPr>
              <w:t xml:space="preserve"> </w:t>
            </w:r>
          </w:p>
        </w:tc>
      </w:tr>
      <w:tr w:rsidR="00DA68AB" w:rsidTr="00516863">
        <w:tc>
          <w:tcPr>
            <w:tcW w:w="1526" w:type="dxa"/>
          </w:tcPr>
          <w:p w:rsidR="00DA68AB" w:rsidRPr="00516863" w:rsidRDefault="00DA68AB" w:rsidP="00516863">
            <w:pPr>
              <w:tabs>
                <w:tab w:val="left" w:pos="1290"/>
              </w:tabs>
              <w:spacing w:line="360" w:lineRule="auto"/>
              <w:rPr>
                <w:rFonts w:ascii="Times New Roman" w:hAnsi="Times New Roman" w:cs="Times New Roman"/>
                <w:sz w:val="24"/>
                <w:szCs w:val="24"/>
              </w:rPr>
            </w:pPr>
          </w:p>
        </w:tc>
        <w:tc>
          <w:tcPr>
            <w:tcW w:w="7716" w:type="dxa"/>
          </w:tcPr>
          <w:p w:rsidR="00DA68AB" w:rsidRPr="009778A5" w:rsidRDefault="00516863" w:rsidP="00516863">
            <w:pPr>
              <w:tabs>
                <w:tab w:val="left" w:pos="1290"/>
              </w:tabs>
              <w:spacing w:line="360" w:lineRule="auto"/>
              <w:rPr>
                <w:rFonts w:ascii="Times New Roman" w:hAnsi="Times New Roman" w:cs="Times New Roman"/>
                <w:sz w:val="24"/>
                <w:szCs w:val="24"/>
                <w:lang w:val="ro-RO"/>
              </w:rPr>
            </w:pPr>
            <w:r w:rsidRPr="009778A5">
              <w:rPr>
                <w:rFonts w:ascii="Times New Roman" w:hAnsi="Times New Roman" w:cs="Times New Roman"/>
                <w:sz w:val="24"/>
                <w:szCs w:val="24"/>
                <w:lang w:val="ro-RO"/>
              </w:rPr>
              <w:t xml:space="preserve">     </w:t>
            </w:r>
            <w:r w:rsidR="00DA68AB" w:rsidRPr="00DA68AB">
              <w:rPr>
                <w:rFonts w:ascii="Times New Roman" w:hAnsi="Times New Roman" w:cs="Times New Roman"/>
                <w:sz w:val="24"/>
                <w:szCs w:val="24"/>
                <w:lang w:val="ro-RO"/>
              </w:rPr>
              <w:t>a. Activitatea de urmărire penală și supraveghere</w:t>
            </w:r>
          </w:p>
        </w:tc>
      </w:tr>
      <w:tr w:rsidR="00DA68AB" w:rsidTr="00516863">
        <w:tc>
          <w:tcPr>
            <w:tcW w:w="1526" w:type="dxa"/>
          </w:tcPr>
          <w:p w:rsidR="00DA68AB" w:rsidRPr="00516863" w:rsidRDefault="00DA68AB" w:rsidP="00516863">
            <w:pPr>
              <w:tabs>
                <w:tab w:val="left" w:pos="1290"/>
              </w:tabs>
              <w:spacing w:line="360" w:lineRule="auto"/>
              <w:rPr>
                <w:rFonts w:ascii="Times New Roman" w:hAnsi="Times New Roman" w:cs="Times New Roman"/>
                <w:sz w:val="24"/>
                <w:szCs w:val="24"/>
              </w:rPr>
            </w:pPr>
          </w:p>
        </w:tc>
        <w:tc>
          <w:tcPr>
            <w:tcW w:w="7716" w:type="dxa"/>
          </w:tcPr>
          <w:p w:rsidR="00DA68AB" w:rsidRPr="009778A5" w:rsidRDefault="00516863" w:rsidP="00516863">
            <w:pPr>
              <w:tabs>
                <w:tab w:val="left" w:pos="1290"/>
              </w:tabs>
              <w:spacing w:line="360" w:lineRule="auto"/>
              <w:rPr>
                <w:rFonts w:ascii="Times New Roman" w:hAnsi="Times New Roman" w:cs="Times New Roman"/>
                <w:bCs/>
                <w:sz w:val="24"/>
                <w:szCs w:val="24"/>
                <w:lang w:val="ro-RO"/>
              </w:rPr>
            </w:pPr>
            <w:r w:rsidRPr="009778A5">
              <w:rPr>
                <w:rFonts w:ascii="Times New Roman" w:hAnsi="Times New Roman" w:cs="Times New Roman"/>
                <w:bCs/>
                <w:sz w:val="24"/>
                <w:szCs w:val="24"/>
                <w:lang w:val="ro-RO"/>
              </w:rPr>
              <w:t xml:space="preserve">     b</w:t>
            </w:r>
            <w:r w:rsidR="00DA68AB" w:rsidRPr="00DA68AB">
              <w:rPr>
                <w:rFonts w:ascii="Times New Roman" w:hAnsi="Times New Roman" w:cs="Times New Roman"/>
                <w:bCs/>
                <w:sz w:val="24"/>
                <w:szCs w:val="24"/>
                <w:lang w:val="ro-RO"/>
              </w:rPr>
              <w:t>. Activitatea judiciară</w:t>
            </w:r>
          </w:p>
        </w:tc>
      </w:tr>
      <w:tr w:rsidR="00DA68AB" w:rsidTr="00516863">
        <w:tc>
          <w:tcPr>
            <w:tcW w:w="1526" w:type="dxa"/>
          </w:tcPr>
          <w:p w:rsidR="00DA68AB" w:rsidRPr="00516863" w:rsidRDefault="00DA68AB" w:rsidP="00516863">
            <w:pPr>
              <w:tabs>
                <w:tab w:val="left" w:pos="1290"/>
              </w:tabs>
              <w:spacing w:line="360" w:lineRule="auto"/>
              <w:rPr>
                <w:rFonts w:ascii="Times New Roman" w:hAnsi="Times New Roman" w:cs="Times New Roman"/>
                <w:sz w:val="24"/>
                <w:szCs w:val="24"/>
              </w:rPr>
            </w:pPr>
          </w:p>
        </w:tc>
        <w:tc>
          <w:tcPr>
            <w:tcW w:w="7716" w:type="dxa"/>
          </w:tcPr>
          <w:p w:rsidR="00DA68AB" w:rsidRPr="009778A5" w:rsidRDefault="00516863" w:rsidP="00516863">
            <w:pPr>
              <w:tabs>
                <w:tab w:val="left" w:pos="1290"/>
              </w:tabs>
              <w:spacing w:line="360" w:lineRule="auto"/>
              <w:rPr>
                <w:rFonts w:ascii="Times New Roman" w:hAnsi="Times New Roman" w:cs="Times New Roman"/>
                <w:bCs/>
                <w:sz w:val="24"/>
                <w:szCs w:val="24"/>
                <w:lang w:val="ro-RO"/>
              </w:rPr>
            </w:pPr>
            <w:r w:rsidRPr="009778A5">
              <w:rPr>
                <w:rFonts w:ascii="Times New Roman" w:hAnsi="Times New Roman" w:cs="Times New Roman"/>
                <w:bCs/>
                <w:sz w:val="24"/>
                <w:szCs w:val="24"/>
                <w:lang w:val="ro-RO"/>
              </w:rPr>
              <w:t xml:space="preserve">     </w:t>
            </w:r>
            <w:r w:rsidR="00DA68AB" w:rsidRPr="00DA68AB">
              <w:rPr>
                <w:rFonts w:ascii="Times New Roman" w:hAnsi="Times New Roman" w:cs="Times New Roman"/>
                <w:bCs/>
                <w:sz w:val="24"/>
                <w:szCs w:val="24"/>
                <w:lang w:val="ro-RO"/>
              </w:rPr>
              <w:t>c. Starea infracțională</w:t>
            </w:r>
          </w:p>
        </w:tc>
      </w:tr>
      <w:tr w:rsidR="00DA68AB" w:rsidTr="00516863">
        <w:tc>
          <w:tcPr>
            <w:tcW w:w="1526" w:type="dxa"/>
          </w:tcPr>
          <w:p w:rsidR="00DA68AB" w:rsidRPr="00516863" w:rsidRDefault="00DA68AB" w:rsidP="00516863">
            <w:pPr>
              <w:tabs>
                <w:tab w:val="left" w:pos="1290"/>
              </w:tabs>
              <w:spacing w:line="360" w:lineRule="auto"/>
              <w:rPr>
                <w:rFonts w:ascii="Times New Roman" w:hAnsi="Times New Roman" w:cs="Times New Roman"/>
                <w:sz w:val="24"/>
                <w:szCs w:val="24"/>
              </w:rPr>
            </w:pPr>
          </w:p>
        </w:tc>
        <w:tc>
          <w:tcPr>
            <w:tcW w:w="7716" w:type="dxa"/>
          </w:tcPr>
          <w:p w:rsidR="00DA68AB" w:rsidRPr="009778A5" w:rsidRDefault="00516863" w:rsidP="00516863">
            <w:pPr>
              <w:tabs>
                <w:tab w:val="left" w:pos="1290"/>
              </w:tabs>
              <w:spacing w:line="360" w:lineRule="auto"/>
              <w:rPr>
                <w:rFonts w:ascii="Times New Roman" w:hAnsi="Times New Roman" w:cs="Times New Roman"/>
                <w:bCs/>
                <w:sz w:val="24"/>
                <w:szCs w:val="24"/>
                <w:lang w:val="ro-RO"/>
              </w:rPr>
            </w:pPr>
            <w:r w:rsidRPr="009778A5">
              <w:rPr>
                <w:rFonts w:ascii="Times New Roman" w:hAnsi="Times New Roman" w:cs="Times New Roman"/>
                <w:bCs/>
                <w:sz w:val="24"/>
                <w:szCs w:val="24"/>
                <w:lang w:val="ro-RO"/>
              </w:rPr>
              <w:t xml:space="preserve">     </w:t>
            </w:r>
            <w:r w:rsidR="00DA68AB" w:rsidRPr="00DA68AB">
              <w:rPr>
                <w:rFonts w:ascii="Times New Roman" w:hAnsi="Times New Roman" w:cs="Times New Roman"/>
                <w:bCs/>
                <w:sz w:val="24"/>
                <w:szCs w:val="24"/>
                <w:lang w:val="ro-RO"/>
              </w:rPr>
              <w:t>d. Capacitatea operațională</w:t>
            </w:r>
          </w:p>
        </w:tc>
      </w:tr>
      <w:tr w:rsidR="00DA68AB" w:rsidTr="00516863">
        <w:tc>
          <w:tcPr>
            <w:tcW w:w="1526" w:type="dxa"/>
          </w:tcPr>
          <w:p w:rsidR="00DA68AB" w:rsidRPr="00516863" w:rsidRDefault="00DA68AB" w:rsidP="00516863">
            <w:pPr>
              <w:tabs>
                <w:tab w:val="left" w:pos="1290"/>
              </w:tabs>
              <w:spacing w:line="360" w:lineRule="auto"/>
              <w:rPr>
                <w:rFonts w:ascii="Times New Roman" w:hAnsi="Times New Roman" w:cs="Times New Roman"/>
                <w:sz w:val="24"/>
                <w:szCs w:val="24"/>
              </w:rPr>
            </w:pPr>
            <w:r w:rsidRPr="00516863">
              <w:rPr>
                <w:rFonts w:ascii="Times New Roman" w:hAnsi="Times New Roman" w:cs="Times New Roman"/>
                <w:b/>
                <w:sz w:val="24"/>
                <w:szCs w:val="24"/>
                <w:lang w:val="ro-RO"/>
              </w:rPr>
              <w:t>Capitolul III</w:t>
            </w:r>
          </w:p>
        </w:tc>
        <w:tc>
          <w:tcPr>
            <w:tcW w:w="7716" w:type="dxa"/>
          </w:tcPr>
          <w:p w:rsidR="00DA68AB" w:rsidRDefault="00DA68AB" w:rsidP="00516863">
            <w:pPr>
              <w:tabs>
                <w:tab w:val="left" w:pos="1290"/>
              </w:tabs>
              <w:spacing w:line="360" w:lineRule="auto"/>
              <w:jc w:val="both"/>
              <w:rPr>
                <w:rFonts w:ascii="Times New Roman" w:hAnsi="Times New Roman" w:cs="Times New Roman"/>
                <w:b/>
                <w:sz w:val="24"/>
                <w:szCs w:val="24"/>
                <w:lang w:val="ro-RO"/>
              </w:rPr>
            </w:pPr>
            <w:r w:rsidRPr="00516863">
              <w:rPr>
                <w:rFonts w:ascii="Times New Roman" w:hAnsi="Times New Roman" w:cs="Times New Roman"/>
                <w:b/>
                <w:sz w:val="24"/>
                <w:szCs w:val="24"/>
                <w:lang w:val="ro-RO"/>
              </w:rPr>
              <w:t>Analiza vulnerabilităţilor de sistem şi a oportunităţilor</w:t>
            </w:r>
          </w:p>
          <w:p w:rsidR="00516863" w:rsidRPr="00516863" w:rsidRDefault="00516863" w:rsidP="00516863">
            <w:pPr>
              <w:tabs>
                <w:tab w:val="left" w:pos="1290"/>
              </w:tabs>
              <w:spacing w:line="360" w:lineRule="auto"/>
              <w:jc w:val="both"/>
              <w:rPr>
                <w:rFonts w:ascii="Times New Roman" w:hAnsi="Times New Roman" w:cs="Times New Roman"/>
                <w:b/>
                <w:sz w:val="24"/>
                <w:szCs w:val="24"/>
                <w:lang w:val="ro-RO"/>
              </w:rPr>
            </w:pPr>
          </w:p>
        </w:tc>
      </w:tr>
      <w:tr w:rsidR="00DA68AB" w:rsidTr="00516863">
        <w:tc>
          <w:tcPr>
            <w:tcW w:w="1526" w:type="dxa"/>
          </w:tcPr>
          <w:p w:rsidR="00DA68AB" w:rsidRPr="00516863" w:rsidRDefault="00DA68AB" w:rsidP="00516863">
            <w:pPr>
              <w:tabs>
                <w:tab w:val="left" w:pos="1290"/>
              </w:tabs>
              <w:spacing w:line="360" w:lineRule="auto"/>
              <w:rPr>
                <w:rFonts w:ascii="Times New Roman" w:hAnsi="Times New Roman" w:cs="Times New Roman"/>
                <w:b/>
                <w:sz w:val="24"/>
                <w:szCs w:val="24"/>
                <w:lang w:val="ro-RO"/>
              </w:rPr>
            </w:pPr>
            <w:r w:rsidRPr="00516863">
              <w:rPr>
                <w:rFonts w:ascii="Times New Roman" w:hAnsi="Times New Roman" w:cs="Times New Roman"/>
                <w:b/>
                <w:sz w:val="24"/>
                <w:szCs w:val="24"/>
                <w:lang w:val="ro-RO"/>
              </w:rPr>
              <w:t>Capitolul IV</w:t>
            </w:r>
          </w:p>
        </w:tc>
        <w:tc>
          <w:tcPr>
            <w:tcW w:w="7716" w:type="dxa"/>
          </w:tcPr>
          <w:p w:rsidR="00DA68AB" w:rsidRDefault="00DA68AB" w:rsidP="00516863">
            <w:pPr>
              <w:tabs>
                <w:tab w:val="left" w:pos="1290"/>
              </w:tabs>
              <w:spacing w:line="360" w:lineRule="auto"/>
              <w:rPr>
                <w:rFonts w:ascii="Times New Roman" w:hAnsi="Times New Roman" w:cs="Times New Roman"/>
                <w:b/>
                <w:sz w:val="24"/>
                <w:szCs w:val="24"/>
                <w:lang w:val="ro-RO"/>
              </w:rPr>
            </w:pPr>
            <w:r w:rsidRPr="00516863">
              <w:rPr>
                <w:rFonts w:ascii="Times New Roman" w:hAnsi="Times New Roman" w:cs="Times New Roman"/>
                <w:b/>
                <w:sz w:val="24"/>
                <w:szCs w:val="24"/>
                <w:lang w:val="ro-RO"/>
              </w:rPr>
              <w:t>Oportunități și priorități manageriale ale noului mandat</w:t>
            </w:r>
          </w:p>
          <w:p w:rsidR="00516863" w:rsidRPr="00516863" w:rsidRDefault="00516863" w:rsidP="00516863">
            <w:pPr>
              <w:tabs>
                <w:tab w:val="left" w:pos="1290"/>
              </w:tabs>
              <w:spacing w:line="360" w:lineRule="auto"/>
              <w:rPr>
                <w:rFonts w:ascii="Times New Roman" w:hAnsi="Times New Roman" w:cs="Times New Roman"/>
                <w:sz w:val="24"/>
                <w:szCs w:val="24"/>
                <w:lang w:val="ro-RO"/>
              </w:rPr>
            </w:pPr>
          </w:p>
        </w:tc>
      </w:tr>
      <w:tr w:rsidR="00DA68AB" w:rsidTr="00516863">
        <w:tc>
          <w:tcPr>
            <w:tcW w:w="1526" w:type="dxa"/>
          </w:tcPr>
          <w:p w:rsidR="00DA68AB" w:rsidRPr="00DA68AB" w:rsidRDefault="00DA68AB" w:rsidP="00516863">
            <w:pPr>
              <w:tabs>
                <w:tab w:val="left" w:pos="1290"/>
              </w:tabs>
              <w:spacing w:line="360" w:lineRule="auto"/>
              <w:rPr>
                <w:rFonts w:ascii="Times New Roman" w:hAnsi="Times New Roman" w:cs="Times New Roman"/>
                <w:b/>
                <w:sz w:val="24"/>
                <w:szCs w:val="24"/>
                <w:lang w:val="ro-RO"/>
              </w:rPr>
            </w:pPr>
            <w:r w:rsidRPr="00DA68AB">
              <w:rPr>
                <w:rFonts w:ascii="Times New Roman" w:hAnsi="Times New Roman" w:cs="Times New Roman"/>
                <w:b/>
                <w:sz w:val="24"/>
                <w:szCs w:val="24"/>
                <w:lang w:val="ro-RO"/>
              </w:rPr>
              <w:t>Concluzii</w:t>
            </w:r>
          </w:p>
          <w:p w:rsidR="00DA68AB" w:rsidRPr="00516863" w:rsidRDefault="00DA68AB" w:rsidP="00516863">
            <w:pPr>
              <w:tabs>
                <w:tab w:val="left" w:pos="1290"/>
              </w:tabs>
              <w:spacing w:line="360" w:lineRule="auto"/>
              <w:rPr>
                <w:rFonts w:ascii="Times New Roman" w:hAnsi="Times New Roman" w:cs="Times New Roman"/>
                <w:b/>
                <w:sz w:val="24"/>
                <w:szCs w:val="24"/>
                <w:lang w:val="ro-RO"/>
              </w:rPr>
            </w:pPr>
          </w:p>
        </w:tc>
        <w:tc>
          <w:tcPr>
            <w:tcW w:w="7716" w:type="dxa"/>
          </w:tcPr>
          <w:p w:rsidR="00DA68AB" w:rsidRPr="00516863" w:rsidRDefault="00DA68AB" w:rsidP="00516863">
            <w:pPr>
              <w:tabs>
                <w:tab w:val="left" w:pos="1290"/>
              </w:tabs>
              <w:spacing w:line="360" w:lineRule="auto"/>
              <w:jc w:val="both"/>
              <w:rPr>
                <w:rFonts w:ascii="Times New Roman" w:hAnsi="Times New Roman" w:cs="Times New Roman"/>
                <w:b/>
                <w:sz w:val="24"/>
                <w:szCs w:val="24"/>
                <w:lang w:val="ro-RO"/>
              </w:rPr>
            </w:pPr>
          </w:p>
        </w:tc>
      </w:tr>
      <w:tr w:rsidR="00516863" w:rsidTr="00516863">
        <w:tc>
          <w:tcPr>
            <w:tcW w:w="1526" w:type="dxa"/>
          </w:tcPr>
          <w:p w:rsidR="00516863" w:rsidRPr="00DA68AB" w:rsidRDefault="00516863" w:rsidP="00516863">
            <w:pPr>
              <w:tabs>
                <w:tab w:val="left" w:pos="1290"/>
              </w:tabs>
              <w:spacing w:line="360" w:lineRule="auto"/>
              <w:rPr>
                <w:rFonts w:ascii="Times New Roman" w:hAnsi="Times New Roman" w:cs="Times New Roman"/>
                <w:b/>
                <w:sz w:val="24"/>
                <w:szCs w:val="24"/>
                <w:lang w:val="ro-RO"/>
              </w:rPr>
            </w:pPr>
            <w:r>
              <w:rPr>
                <w:rFonts w:ascii="Times New Roman" w:hAnsi="Times New Roman" w:cs="Times New Roman"/>
                <w:b/>
                <w:sz w:val="24"/>
                <w:szCs w:val="24"/>
                <w:lang w:val="ro-RO"/>
              </w:rPr>
              <w:t>Bibliografie</w:t>
            </w:r>
          </w:p>
        </w:tc>
        <w:tc>
          <w:tcPr>
            <w:tcW w:w="7716" w:type="dxa"/>
          </w:tcPr>
          <w:p w:rsidR="00516863" w:rsidRPr="00516863" w:rsidRDefault="00516863" w:rsidP="00516863">
            <w:pPr>
              <w:tabs>
                <w:tab w:val="left" w:pos="1290"/>
              </w:tabs>
              <w:spacing w:line="360" w:lineRule="auto"/>
              <w:jc w:val="both"/>
              <w:rPr>
                <w:rFonts w:ascii="Times New Roman" w:hAnsi="Times New Roman" w:cs="Times New Roman"/>
                <w:b/>
                <w:sz w:val="24"/>
                <w:szCs w:val="24"/>
                <w:lang w:val="ro-RO"/>
              </w:rPr>
            </w:pPr>
          </w:p>
        </w:tc>
      </w:tr>
    </w:tbl>
    <w:p w:rsidR="00466DE0" w:rsidRDefault="00466DE0" w:rsidP="00C413D4">
      <w:pPr>
        <w:tabs>
          <w:tab w:val="left" w:pos="1290"/>
        </w:tabs>
        <w:rPr>
          <w:rFonts w:ascii="Times New Roman" w:hAnsi="Times New Roman" w:cs="Times New Roman"/>
          <w:sz w:val="24"/>
          <w:szCs w:val="24"/>
        </w:rPr>
      </w:pPr>
    </w:p>
    <w:p w:rsidR="00BA212C" w:rsidRDefault="00BA212C" w:rsidP="00143D93">
      <w:pPr>
        <w:tabs>
          <w:tab w:val="left" w:pos="1290"/>
        </w:tabs>
        <w:rPr>
          <w:rFonts w:ascii="Times New Roman" w:hAnsi="Times New Roman" w:cs="Times New Roman"/>
          <w:sz w:val="24"/>
          <w:szCs w:val="24"/>
        </w:rPr>
      </w:pPr>
    </w:p>
    <w:p w:rsidR="00BA212C" w:rsidRDefault="00BA212C" w:rsidP="00143D93">
      <w:pPr>
        <w:tabs>
          <w:tab w:val="left" w:pos="1290"/>
        </w:tabs>
        <w:rPr>
          <w:rFonts w:ascii="Times New Roman" w:hAnsi="Times New Roman" w:cs="Times New Roman"/>
          <w:sz w:val="24"/>
          <w:szCs w:val="24"/>
        </w:rPr>
      </w:pPr>
    </w:p>
    <w:p w:rsidR="00143D93" w:rsidRPr="00815699" w:rsidRDefault="006266A5" w:rsidP="00143D93">
      <w:pPr>
        <w:tabs>
          <w:tab w:val="left" w:pos="1290"/>
        </w:tabs>
        <w:rPr>
          <w:rFonts w:ascii="Times New Roman" w:hAnsi="Times New Roman" w:cs="Times New Roman"/>
          <w:b/>
          <w:sz w:val="24"/>
          <w:szCs w:val="24"/>
          <w:u w:val="single"/>
          <w:lang w:val="ro-RO"/>
        </w:rPr>
      </w:pPr>
      <w:r w:rsidRPr="006266A5">
        <w:rPr>
          <w:rFonts w:ascii="Times New Roman" w:hAnsi="Times New Roman" w:cs="Times New Roman"/>
          <w:b/>
          <w:sz w:val="24"/>
          <w:szCs w:val="24"/>
          <w:lang w:val="ro-RO"/>
        </w:rPr>
        <w:lastRenderedPageBreak/>
        <w:tab/>
      </w:r>
      <w:r w:rsidR="00DA68AB">
        <w:rPr>
          <w:rFonts w:ascii="Times New Roman" w:hAnsi="Times New Roman" w:cs="Times New Roman"/>
          <w:b/>
          <w:sz w:val="24"/>
          <w:szCs w:val="24"/>
          <w:lang w:val="ro-RO"/>
        </w:rPr>
        <w:tab/>
      </w:r>
      <w:r w:rsidR="00143D93" w:rsidRPr="00815699">
        <w:rPr>
          <w:rFonts w:ascii="Times New Roman" w:hAnsi="Times New Roman" w:cs="Times New Roman"/>
          <w:b/>
          <w:sz w:val="24"/>
          <w:szCs w:val="24"/>
          <w:u w:val="single"/>
          <w:lang w:val="ro-RO"/>
        </w:rPr>
        <w:t>Premis</w:t>
      </w:r>
      <w:r w:rsidR="00473E14" w:rsidRPr="00815699">
        <w:rPr>
          <w:rFonts w:ascii="Times New Roman" w:hAnsi="Times New Roman" w:cs="Times New Roman"/>
          <w:b/>
          <w:sz w:val="24"/>
          <w:szCs w:val="24"/>
          <w:u w:val="single"/>
          <w:lang w:val="ro-RO"/>
        </w:rPr>
        <w:t>ă</w:t>
      </w:r>
    </w:p>
    <w:p w:rsidR="00143D93" w:rsidRPr="00815699" w:rsidRDefault="00143D93" w:rsidP="00143D93">
      <w:pPr>
        <w:rPr>
          <w:rFonts w:ascii="Times New Roman" w:hAnsi="Times New Roman" w:cs="Times New Roman"/>
          <w:sz w:val="24"/>
          <w:szCs w:val="24"/>
          <w:lang w:val="ro-RO"/>
        </w:rPr>
      </w:pPr>
    </w:p>
    <w:p w:rsidR="000A68A5" w:rsidRPr="00815699" w:rsidRDefault="00143D93" w:rsidP="006266A5">
      <w:pPr>
        <w:tabs>
          <w:tab w:val="left" w:pos="1800"/>
        </w:tabs>
        <w:spacing w:after="0" w:line="360" w:lineRule="auto"/>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ab/>
        <w:t>Dac</w:t>
      </w:r>
      <w:r w:rsidR="00C440BA">
        <w:rPr>
          <w:rFonts w:ascii="Times New Roman" w:hAnsi="Times New Roman" w:cs="Times New Roman"/>
          <w:sz w:val="24"/>
          <w:szCs w:val="24"/>
          <w:lang w:val="ro-RO"/>
        </w:rPr>
        <w:t>ă</w:t>
      </w:r>
      <w:r w:rsidRPr="00815699">
        <w:rPr>
          <w:rFonts w:ascii="Times New Roman" w:hAnsi="Times New Roman" w:cs="Times New Roman"/>
          <w:sz w:val="24"/>
          <w:szCs w:val="24"/>
          <w:lang w:val="ro-RO"/>
        </w:rPr>
        <w:t xml:space="preserve"> ar exista o </w:t>
      </w:r>
      <w:r w:rsidR="00473E14" w:rsidRPr="00815699">
        <w:rPr>
          <w:rFonts w:ascii="Times New Roman" w:hAnsi="Times New Roman" w:cs="Times New Roman"/>
          <w:sz w:val="24"/>
          <w:szCs w:val="24"/>
          <w:lang w:val="ro-RO"/>
        </w:rPr>
        <w:t>retrospectivă</w:t>
      </w:r>
      <w:r w:rsidRPr="00815699">
        <w:rPr>
          <w:rFonts w:ascii="Times New Roman" w:hAnsi="Times New Roman" w:cs="Times New Roman"/>
          <w:sz w:val="24"/>
          <w:szCs w:val="24"/>
          <w:lang w:val="ro-RO"/>
        </w:rPr>
        <w:t xml:space="preserve"> a </w:t>
      </w:r>
      <w:r w:rsidR="00473E14" w:rsidRPr="00815699">
        <w:rPr>
          <w:rFonts w:ascii="Times New Roman" w:hAnsi="Times New Roman" w:cs="Times New Roman"/>
          <w:sz w:val="24"/>
          <w:szCs w:val="24"/>
          <w:lang w:val="ro-RO"/>
        </w:rPr>
        <w:t>ultimilor 30 de ani, cu siguranță</w:t>
      </w:r>
      <w:r w:rsidRPr="00815699">
        <w:rPr>
          <w:rFonts w:ascii="Times New Roman" w:hAnsi="Times New Roman" w:cs="Times New Roman"/>
          <w:sz w:val="24"/>
          <w:szCs w:val="24"/>
          <w:lang w:val="ro-RO"/>
        </w:rPr>
        <w:t xml:space="preserve"> perioada actual</w:t>
      </w:r>
      <w:r w:rsidR="00C440BA">
        <w:rPr>
          <w:rFonts w:ascii="Times New Roman" w:hAnsi="Times New Roman" w:cs="Times New Roman"/>
          <w:sz w:val="24"/>
          <w:szCs w:val="24"/>
          <w:lang w:val="ro-RO"/>
        </w:rPr>
        <w:t>ă</w:t>
      </w:r>
      <w:r w:rsidRPr="00815699">
        <w:rPr>
          <w:rFonts w:ascii="Times New Roman" w:hAnsi="Times New Roman" w:cs="Times New Roman"/>
          <w:sz w:val="24"/>
          <w:szCs w:val="24"/>
          <w:lang w:val="ro-RO"/>
        </w:rPr>
        <w:t xml:space="preserve"> ar fi cea mai dificil</w:t>
      </w:r>
      <w:r w:rsidR="00C440BA">
        <w:rPr>
          <w:rFonts w:ascii="Times New Roman" w:hAnsi="Times New Roman" w:cs="Times New Roman"/>
          <w:sz w:val="24"/>
          <w:szCs w:val="24"/>
          <w:lang w:val="ro-RO"/>
        </w:rPr>
        <w:t>ă</w:t>
      </w:r>
      <w:r w:rsidRPr="00815699">
        <w:rPr>
          <w:rFonts w:ascii="Times New Roman" w:hAnsi="Times New Roman" w:cs="Times New Roman"/>
          <w:sz w:val="24"/>
          <w:szCs w:val="24"/>
          <w:lang w:val="ro-RO"/>
        </w:rPr>
        <w:t xml:space="preserve"> </w:t>
      </w:r>
      <w:r w:rsidR="00473E14" w:rsidRPr="00815699">
        <w:rPr>
          <w:rFonts w:ascii="Times New Roman" w:hAnsi="Times New Roman" w:cs="Times New Roman"/>
          <w:sz w:val="24"/>
          <w:szCs w:val="24"/>
          <w:lang w:val="ro-RO"/>
        </w:rPr>
        <w:t>din perspectiva abordării func</w:t>
      </w:r>
      <w:r w:rsidR="00C440BA">
        <w:rPr>
          <w:rFonts w:ascii="Times New Roman" w:hAnsi="Times New Roman" w:cs="Times New Roman"/>
          <w:sz w:val="24"/>
          <w:szCs w:val="24"/>
          <w:lang w:val="ro-RO"/>
        </w:rPr>
        <w:t>ț</w:t>
      </w:r>
      <w:r w:rsidR="00473E14" w:rsidRPr="00815699">
        <w:rPr>
          <w:rFonts w:ascii="Times New Roman" w:hAnsi="Times New Roman" w:cs="Times New Roman"/>
          <w:sz w:val="24"/>
          <w:szCs w:val="24"/>
          <w:lang w:val="ro-RO"/>
        </w:rPr>
        <w:t>iei de Procuror General al Parchetului de pe l</w:t>
      </w:r>
      <w:r w:rsidR="00C440BA">
        <w:rPr>
          <w:rFonts w:ascii="Times New Roman" w:hAnsi="Times New Roman" w:cs="Times New Roman"/>
          <w:sz w:val="24"/>
          <w:szCs w:val="24"/>
          <w:lang w:val="ro-RO"/>
        </w:rPr>
        <w:t>â</w:t>
      </w:r>
      <w:r w:rsidR="00473E14" w:rsidRPr="00815699">
        <w:rPr>
          <w:rFonts w:ascii="Times New Roman" w:hAnsi="Times New Roman" w:cs="Times New Roman"/>
          <w:sz w:val="24"/>
          <w:szCs w:val="24"/>
          <w:lang w:val="ro-RO"/>
        </w:rPr>
        <w:t>ng</w:t>
      </w:r>
      <w:r w:rsidR="00C440BA">
        <w:rPr>
          <w:rFonts w:ascii="Times New Roman" w:hAnsi="Times New Roman" w:cs="Times New Roman"/>
          <w:sz w:val="24"/>
          <w:szCs w:val="24"/>
          <w:lang w:val="ro-RO"/>
        </w:rPr>
        <w:t>ă</w:t>
      </w:r>
      <w:r w:rsidR="00473E14" w:rsidRPr="00815699">
        <w:rPr>
          <w:rFonts w:ascii="Times New Roman" w:hAnsi="Times New Roman" w:cs="Times New Roman"/>
          <w:sz w:val="24"/>
          <w:szCs w:val="24"/>
          <w:lang w:val="ro-RO"/>
        </w:rPr>
        <w:t xml:space="preserve"> Î</w:t>
      </w:r>
      <w:r w:rsidRPr="00815699">
        <w:rPr>
          <w:rFonts w:ascii="Times New Roman" w:hAnsi="Times New Roman" w:cs="Times New Roman"/>
          <w:sz w:val="24"/>
          <w:szCs w:val="24"/>
          <w:lang w:val="ro-RO"/>
        </w:rPr>
        <w:t>nalta Curte de Casa</w:t>
      </w:r>
      <w:r w:rsidR="00473E14" w:rsidRPr="00815699">
        <w:rPr>
          <w:rFonts w:ascii="Times New Roman" w:hAnsi="Times New Roman" w:cs="Times New Roman"/>
          <w:sz w:val="24"/>
          <w:szCs w:val="24"/>
          <w:lang w:val="ro-RO"/>
        </w:rPr>
        <w:t>ț</w:t>
      </w:r>
      <w:r w:rsidRPr="00815699">
        <w:rPr>
          <w:rFonts w:ascii="Times New Roman" w:hAnsi="Times New Roman" w:cs="Times New Roman"/>
          <w:sz w:val="24"/>
          <w:szCs w:val="24"/>
          <w:lang w:val="ro-RO"/>
        </w:rPr>
        <w:t xml:space="preserve">ie </w:t>
      </w:r>
      <w:r w:rsidR="00C440BA">
        <w:rPr>
          <w:rFonts w:ascii="Times New Roman" w:hAnsi="Times New Roman" w:cs="Times New Roman"/>
          <w:sz w:val="24"/>
          <w:szCs w:val="24"/>
          <w:lang w:val="ro-RO"/>
        </w:rPr>
        <w:t>ș</w:t>
      </w:r>
      <w:r w:rsidRPr="00815699">
        <w:rPr>
          <w:rFonts w:ascii="Times New Roman" w:hAnsi="Times New Roman" w:cs="Times New Roman"/>
          <w:sz w:val="24"/>
          <w:szCs w:val="24"/>
          <w:lang w:val="ro-RO"/>
        </w:rPr>
        <w:t>i Justi</w:t>
      </w:r>
      <w:r w:rsidR="00473E14" w:rsidRPr="00815699">
        <w:rPr>
          <w:rFonts w:ascii="Times New Roman" w:hAnsi="Times New Roman" w:cs="Times New Roman"/>
          <w:sz w:val="24"/>
          <w:szCs w:val="24"/>
          <w:lang w:val="ro-RO"/>
        </w:rPr>
        <w:t>ț</w:t>
      </w:r>
      <w:r w:rsidRPr="00815699">
        <w:rPr>
          <w:rFonts w:ascii="Times New Roman" w:hAnsi="Times New Roman" w:cs="Times New Roman"/>
          <w:sz w:val="24"/>
          <w:szCs w:val="24"/>
          <w:lang w:val="ro-RO"/>
        </w:rPr>
        <w:t xml:space="preserve">ie. Aceasta, </w:t>
      </w:r>
      <w:r w:rsidR="00C440BA">
        <w:rPr>
          <w:rFonts w:ascii="Times New Roman" w:hAnsi="Times New Roman" w:cs="Times New Roman"/>
          <w:sz w:val="24"/>
          <w:szCs w:val="24"/>
          <w:lang w:val="ro-RO"/>
        </w:rPr>
        <w:t>î</w:t>
      </w:r>
      <w:r w:rsidRPr="00815699">
        <w:rPr>
          <w:rFonts w:ascii="Times New Roman" w:hAnsi="Times New Roman" w:cs="Times New Roman"/>
          <w:sz w:val="24"/>
          <w:szCs w:val="24"/>
          <w:lang w:val="ro-RO"/>
        </w:rPr>
        <w:t>n primul r</w:t>
      </w:r>
      <w:r w:rsidR="00C440BA">
        <w:rPr>
          <w:rFonts w:ascii="Times New Roman" w:hAnsi="Times New Roman" w:cs="Times New Roman"/>
          <w:sz w:val="24"/>
          <w:szCs w:val="24"/>
          <w:lang w:val="ro-RO"/>
        </w:rPr>
        <w:t>â</w:t>
      </w:r>
      <w:r w:rsidRPr="00815699">
        <w:rPr>
          <w:rFonts w:ascii="Times New Roman" w:hAnsi="Times New Roman" w:cs="Times New Roman"/>
          <w:sz w:val="24"/>
          <w:szCs w:val="24"/>
          <w:lang w:val="ro-RO"/>
        </w:rPr>
        <w:t>nd, pentru c</w:t>
      </w:r>
      <w:r w:rsidR="00C440BA">
        <w:rPr>
          <w:rFonts w:ascii="Times New Roman" w:hAnsi="Times New Roman" w:cs="Times New Roman"/>
          <w:sz w:val="24"/>
          <w:szCs w:val="24"/>
          <w:lang w:val="ro-RO"/>
        </w:rPr>
        <w:t>ă</w:t>
      </w:r>
      <w:r w:rsidRPr="00815699">
        <w:rPr>
          <w:rFonts w:ascii="Times New Roman" w:hAnsi="Times New Roman" w:cs="Times New Roman"/>
          <w:sz w:val="24"/>
          <w:szCs w:val="24"/>
          <w:lang w:val="ro-RO"/>
        </w:rPr>
        <w:t xml:space="preserve"> </w:t>
      </w:r>
      <w:r w:rsidR="00473E14" w:rsidRPr="00815699">
        <w:rPr>
          <w:rFonts w:ascii="Times New Roman" w:hAnsi="Times New Roman" w:cs="Times New Roman"/>
          <w:sz w:val="24"/>
          <w:szCs w:val="24"/>
          <w:lang w:val="ro-RO"/>
        </w:rPr>
        <w:t>activitatea p</w:t>
      </w:r>
      <w:r w:rsidR="00243218" w:rsidRPr="00815699">
        <w:rPr>
          <w:rFonts w:ascii="Times New Roman" w:hAnsi="Times New Roman" w:cs="Times New Roman"/>
          <w:sz w:val="24"/>
          <w:szCs w:val="24"/>
          <w:lang w:val="ro-RO"/>
        </w:rPr>
        <w:t>a</w:t>
      </w:r>
      <w:r w:rsidR="00473E14" w:rsidRPr="00815699">
        <w:rPr>
          <w:rFonts w:ascii="Times New Roman" w:hAnsi="Times New Roman" w:cs="Times New Roman"/>
          <w:sz w:val="24"/>
          <w:szCs w:val="24"/>
          <w:lang w:val="ro-RO"/>
        </w:rPr>
        <w:t xml:space="preserve">rchetelor și instanțelor, pe de o parte, respectiv modificările succesive ale unor legi, pe de altă parte, </w:t>
      </w:r>
      <w:r w:rsidRPr="00815699">
        <w:rPr>
          <w:rFonts w:ascii="Times New Roman" w:hAnsi="Times New Roman" w:cs="Times New Roman"/>
          <w:sz w:val="24"/>
          <w:szCs w:val="24"/>
          <w:lang w:val="ro-RO"/>
        </w:rPr>
        <w:t>au n</w:t>
      </w:r>
      <w:r w:rsidR="00C440BA">
        <w:rPr>
          <w:rFonts w:ascii="Times New Roman" w:hAnsi="Times New Roman" w:cs="Times New Roman"/>
          <w:sz w:val="24"/>
          <w:szCs w:val="24"/>
          <w:lang w:val="ro-RO"/>
        </w:rPr>
        <w:t>ă</w:t>
      </w:r>
      <w:r w:rsidRPr="00815699">
        <w:rPr>
          <w:rFonts w:ascii="Times New Roman" w:hAnsi="Times New Roman" w:cs="Times New Roman"/>
          <w:sz w:val="24"/>
          <w:szCs w:val="24"/>
          <w:lang w:val="ro-RO"/>
        </w:rPr>
        <w:t>s</w:t>
      </w:r>
      <w:r w:rsidR="00473E14" w:rsidRPr="00815699">
        <w:rPr>
          <w:rFonts w:ascii="Times New Roman" w:hAnsi="Times New Roman" w:cs="Times New Roman"/>
          <w:sz w:val="24"/>
          <w:szCs w:val="24"/>
          <w:lang w:val="ro-RO"/>
        </w:rPr>
        <w:t>cut animozit</w:t>
      </w:r>
      <w:r w:rsidR="00C440BA">
        <w:rPr>
          <w:rFonts w:ascii="Times New Roman" w:hAnsi="Times New Roman" w:cs="Times New Roman"/>
          <w:sz w:val="24"/>
          <w:szCs w:val="24"/>
          <w:lang w:val="ro-RO"/>
        </w:rPr>
        <w:t>ăț</w:t>
      </w:r>
      <w:r w:rsidR="00473E14" w:rsidRPr="00815699">
        <w:rPr>
          <w:rFonts w:ascii="Times New Roman" w:hAnsi="Times New Roman" w:cs="Times New Roman"/>
          <w:sz w:val="24"/>
          <w:szCs w:val="24"/>
          <w:lang w:val="ro-RO"/>
        </w:rPr>
        <w:t>i f</w:t>
      </w:r>
      <w:r w:rsidR="00C440BA">
        <w:rPr>
          <w:rFonts w:ascii="Times New Roman" w:hAnsi="Times New Roman" w:cs="Times New Roman"/>
          <w:sz w:val="24"/>
          <w:szCs w:val="24"/>
          <w:lang w:val="ro-RO"/>
        </w:rPr>
        <w:t>ără</w:t>
      </w:r>
      <w:r w:rsidR="00473E14" w:rsidRPr="00815699">
        <w:rPr>
          <w:rFonts w:ascii="Times New Roman" w:hAnsi="Times New Roman" w:cs="Times New Roman"/>
          <w:sz w:val="24"/>
          <w:szCs w:val="24"/>
          <w:lang w:val="ro-RO"/>
        </w:rPr>
        <w:t xml:space="preserve"> precedent între autorităț</w:t>
      </w:r>
      <w:r w:rsidRPr="00815699">
        <w:rPr>
          <w:rFonts w:ascii="Times New Roman" w:hAnsi="Times New Roman" w:cs="Times New Roman"/>
          <w:sz w:val="24"/>
          <w:szCs w:val="24"/>
          <w:lang w:val="ro-RO"/>
        </w:rPr>
        <w:t>ile statului, a</w:t>
      </w:r>
      <w:r w:rsidR="00C440BA">
        <w:rPr>
          <w:rFonts w:ascii="Times New Roman" w:hAnsi="Times New Roman" w:cs="Times New Roman"/>
          <w:sz w:val="24"/>
          <w:szCs w:val="24"/>
          <w:lang w:val="ro-RO"/>
        </w:rPr>
        <w:t>ș</w:t>
      </w:r>
      <w:r w:rsidRPr="00815699">
        <w:rPr>
          <w:rFonts w:ascii="Times New Roman" w:hAnsi="Times New Roman" w:cs="Times New Roman"/>
          <w:sz w:val="24"/>
          <w:szCs w:val="24"/>
          <w:lang w:val="ro-RO"/>
        </w:rPr>
        <w:t>a cum sunt reglementate de Constitu</w:t>
      </w:r>
      <w:r w:rsidR="00C440BA">
        <w:rPr>
          <w:rFonts w:ascii="Times New Roman" w:hAnsi="Times New Roman" w:cs="Times New Roman"/>
          <w:sz w:val="24"/>
          <w:szCs w:val="24"/>
          <w:lang w:val="ro-RO"/>
        </w:rPr>
        <w:t>ț</w:t>
      </w:r>
      <w:r w:rsidR="00473E14" w:rsidRPr="00815699">
        <w:rPr>
          <w:rFonts w:ascii="Times New Roman" w:hAnsi="Times New Roman" w:cs="Times New Roman"/>
          <w:sz w:val="24"/>
          <w:szCs w:val="24"/>
          <w:lang w:val="ro-RO"/>
        </w:rPr>
        <w:t>ia Rom</w:t>
      </w:r>
      <w:r w:rsidR="00C440BA">
        <w:rPr>
          <w:rFonts w:ascii="Times New Roman" w:hAnsi="Times New Roman" w:cs="Times New Roman"/>
          <w:sz w:val="24"/>
          <w:szCs w:val="24"/>
          <w:lang w:val="ro-RO"/>
        </w:rPr>
        <w:t>â</w:t>
      </w:r>
      <w:r w:rsidR="00473E14" w:rsidRPr="00815699">
        <w:rPr>
          <w:rFonts w:ascii="Times New Roman" w:hAnsi="Times New Roman" w:cs="Times New Roman"/>
          <w:sz w:val="24"/>
          <w:szCs w:val="24"/>
          <w:lang w:val="ro-RO"/>
        </w:rPr>
        <w:t xml:space="preserve">niei puterea legislativă, cea executivă </w:t>
      </w:r>
      <w:r w:rsidR="00C440BA">
        <w:rPr>
          <w:rFonts w:ascii="Times New Roman" w:hAnsi="Times New Roman" w:cs="Times New Roman"/>
          <w:sz w:val="24"/>
          <w:szCs w:val="24"/>
          <w:lang w:val="ro-RO"/>
        </w:rPr>
        <w:t>ș</w:t>
      </w:r>
      <w:r w:rsidR="00473E14" w:rsidRPr="00815699">
        <w:rPr>
          <w:rFonts w:ascii="Times New Roman" w:hAnsi="Times New Roman" w:cs="Times New Roman"/>
          <w:sz w:val="24"/>
          <w:szCs w:val="24"/>
          <w:lang w:val="ro-RO"/>
        </w:rPr>
        <w:t>i puterea judecătorească</w:t>
      </w:r>
      <w:r w:rsidRPr="00815699">
        <w:rPr>
          <w:rFonts w:ascii="Times New Roman" w:hAnsi="Times New Roman" w:cs="Times New Roman"/>
          <w:sz w:val="24"/>
          <w:szCs w:val="24"/>
          <w:lang w:val="ro-RO"/>
        </w:rPr>
        <w:t xml:space="preserve">. </w:t>
      </w:r>
      <w:r w:rsidR="001E7523" w:rsidRPr="00815699">
        <w:rPr>
          <w:rFonts w:ascii="Times New Roman" w:hAnsi="Times New Roman" w:cs="Times New Roman"/>
          <w:sz w:val="24"/>
          <w:szCs w:val="24"/>
          <w:lang w:val="ro-RO"/>
        </w:rPr>
        <w:t>F</w:t>
      </w:r>
      <w:r w:rsidR="00C440BA">
        <w:rPr>
          <w:rFonts w:ascii="Times New Roman" w:hAnsi="Times New Roman" w:cs="Times New Roman"/>
          <w:sz w:val="24"/>
          <w:szCs w:val="24"/>
          <w:lang w:val="ro-RO"/>
        </w:rPr>
        <w:t>ără</w:t>
      </w:r>
      <w:r w:rsidR="001E7523" w:rsidRPr="00815699">
        <w:rPr>
          <w:rFonts w:ascii="Times New Roman" w:hAnsi="Times New Roman" w:cs="Times New Roman"/>
          <w:sz w:val="24"/>
          <w:szCs w:val="24"/>
          <w:lang w:val="ro-RO"/>
        </w:rPr>
        <w:t xml:space="preserve"> a avea preten</w:t>
      </w:r>
      <w:r w:rsidR="00C440BA">
        <w:rPr>
          <w:rFonts w:ascii="Times New Roman" w:hAnsi="Times New Roman" w:cs="Times New Roman"/>
          <w:sz w:val="24"/>
          <w:szCs w:val="24"/>
          <w:lang w:val="ro-RO"/>
        </w:rPr>
        <w:t>ț</w:t>
      </w:r>
      <w:r w:rsidR="001E7523" w:rsidRPr="00815699">
        <w:rPr>
          <w:rFonts w:ascii="Times New Roman" w:hAnsi="Times New Roman" w:cs="Times New Roman"/>
          <w:sz w:val="24"/>
          <w:szCs w:val="24"/>
          <w:lang w:val="ro-RO"/>
        </w:rPr>
        <w:t>ia ca proiectul de management ar putea aduce o analiz</w:t>
      </w:r>
      <w:r w:rsidR="00C440BA">
        <w:rPr>
          <w:rFonts w:ascii="Times New Roman" w:hAnsi="Times New Roman" w:cs="Times New Roman"/>
          <w:sz w:val="24"/>
          <w:szCs w:val="24"/>
          <w:lang w:val="ro-RO"/>
        </w:rPr>
        <w:t>ă</w:t>
      </w:r>
      <w:r w:rsidR="001E7523" w:rsidRPr="00815699">
        <w:rPr>
          <w:rFonts w:ascii="Times New Roman" w:hAnsi="Times New Roman" w:cs="Times New Roman"/>
          <w:sz w:val="24"/>
          <w:szCs w:val="24"/>
          <w:lang w:val="ro-RO"/>
        </w:rPr>
        <w:t xml:space="preserve"> obiectiv</w:t>
      </w:r>
      <w:r w:rsidR="00C440BA">
        <w:rPr>
          <w:rFonts w:ascii="Times New Roman" w:hAnsi="Times New Roman" w:cs="Times New Roman"/>
          <w:sz w:val="24"/>
          <w:szCs w:val="24"/>
          <w:lang w:val="ro-RO"/>
        </w:rPr>
        <w:t>ă</w:t>
      </w:r>
      <w:r w:rsidR="001E7523" w:rsidRPr="00815699">
        <w:rPr>
          <w:rFonts w:ascii="Times New Roman" w:hAnsi="Times New Roman" w:cs="Times New Roman"/>
          <w:sz w:val="24"/>
          <w:szCs w:val="24"/>
          <w:lang w:val="ro-RO"/>
        </w:rPr>
        <w:t xml:space="preserve"> asupra modului </w:t>
      </w:r>
      <w:r w:rsidR="00C440BA">
        <w:rPr>
          <w:rFonts w:ascii="Times New Roman" w:hAnsi="Times New Roman" w:cs="Times New Roman"/>
          <w:sz w:val="24"/>
          <w:szCs w:val="24"/>
          <w:lang w:val="ro-RO"/>
        </w:rPr>
        <w:t>î</w:t>
      </w:r>
      <w:r w:rsidR="001E7523" w:rsidRPr="00815699">
        <w:rPr>
          <w:rFonts w:ascii="Times New Roman" w:hAnsi="Times New Roman" w:cs="Times New Roman"/>
          <w:sz w:val="24"/>
          <w:szCs w:val="24"/>
          <w:lang w:val="ro-RO"/>
        </w:rPr>
        <w:t>n care modific</w:t>
      </w:r>
      <w:r w:rsidR="00C440BA">
        <w:rPr>
          <w:rFonts w:ascii="Times New Roman" w:hAnsi="Times New Roman" w:cs="Times New Roman"/>
          <w:sz w:val="24"/>
          <w:szCs w:val="24"/>
          <w:lang w:val="ro-RO"/>
        </w:rPr>
        <w:t>ă</w:t>
      </w:r>
      <w:r w:rsidR="001E7523" w:rsidRPr="00815699">
        <w:rPr>
          <w:rFonts w:ascii="Times New Roman" w:hAnsi="Times New Roman" w:cs="Times New Roman"/>
          <w:sz w:val="24"/>
          <w:szCs w:val="24"/>
          <w:lang w:val="ro-RO"/>
        </w:rPr>
        <w:t>rile legislative au afectat puterea judec</w:t>
      </w:r>
      <w:r w:rsidR="00C440BA">
        <w:rPr>
          <w:rFonts w:ascii="Times New Roman" w:hAnsi="Times New Roman" w:cs="Times New Roman"/>
          <w:sz w:val="24"/>
          <w:szCs w:val="24"/>
          <w:lang w:val="ro-RO"/>
        </w:rPr>
        <w:t>ă</w:t>
      </w:r>
      <w:r w:rsidR="001E7523" w:rsidRPr="00815699">
        <w:rPr>
          <w:rFonts w:ascii="Times New Roman" w:hAnsi="Times New Roman" w:cs="Times New Roman"/>
          <w:sz w:val="24"/>
          <w:szCs w:val="24"/>
          <w:lang w:val="ro-RO"/>
        </w:rPr>
        <w:t>toreasc</w:t>
      </w:r>
      <w:r w:rsidR="00C440BA">
        <w:rPr>
          <w:rFonts w:ascii="Times New Roman" w:hAnsi="Times New Roman" w:cs="Times New Roman"/>
          <w:sz w:val="24"/>
          <w:szCs w:val="24"/>
          <w:lang w:val="ro-RO"/>
        </w:rPr>
        <w:t>ă</w:t>
      </w:r>
      <w:r w:rsidR="001E7523" w:rsidRPr="00815699">
        <w:rPr>
          <w:rFonts w:ascii="Times New Roman" w:hAnsi="Times New Roman" w:cs="Times New Roman"/>
          <w:sz w:val="24"/>
          <w:szCs w:val="24"/>
          <w:lang w:val="ro-RO"/>
        </w:rPr>
        <w:t xml:space="preserve"> </w:t>
      </w:r>
      <w:r w:rsidR="00C440BA">
        <w:rPr>
          <w:rFonts w:ascii="Times New Roman" w:hAnsi="Times New Roman" w:cs="Times New Roman"/>
          <w:sz w:val="24"/>
          <w:szCs w:val="24"/>
          <w:lang w:val="ro-RO"/>
        </w:rPr>
        <w:t>î</w:t>
      </w:r>
      <w:r w:rsidR="001E7523" w:rsidRPr="00815699">
        <w:rPr>
          <w:rFonts w:ascii="Times New Roman" w:hAnsi="Times New Roman" w:cs="Times New Roman"/>
          <w:sz w:val="24"/>
          <w:szCs w:val="24"/>
          <w:lang w:val="ro-RO"/>
        </w:rPr>
        <w:t xml:space="preserve">n general </w:t>
      </w:r>
      <w:r w:rsidR="00C440BA">
        <w:rPr>
          <w:rFonts w:ascii="Times New Roman" w:hAnsi="Times New Roman" w:cs="Times New Roman"/>
          <w:sz w:val="24"/>
          <w:szCs w:val="24"/>
          <w:lang w:val="ro-RO"/>
        </w:rPr>
        <w:t>ș</w:t>
      </w:r>
      <w:r w:rsidR="001E7523" w:rsidRPr="00815699">
        <w:rPr>
          <w:rFonts w:ascii="Times New Roman" w:hAnsi="Times New Roman" w:cs="Times New Roman"/>
          <w:sz w:val="24"/>
          <w:szCs w:val="24"/>
          <w:lang w:val="ro-RO"/>
        </w:rPr>
        <w:t>i Ministerul Public in special, semnalele venite din interior au reliefat o presiune f</w:t>
      </w:r>
      <w:r w:rsidR="00C440BA">
        <w:rPr>
          <w:rFonts w:ascii="Times New Roman" w:hAnsi="Times New Roman" w:cs="Times New Roman"/>
          <w:sz w:val="24"/>
          <w:szCs w:val="24"/>
          <w:lang w:val="ro-RO"/>
        </w:rPr>
        <w:t>ără</w:t>
      </w:r>
      <w:r w:rsidR="001E7523" w:rsidRPr="00815699">
        <w:rPr>
          <w:rFonts w:ascii="Times New Roman" w:hAnsi="Times New Roman" w:cs="Times New Roman"/>
          <w:sz w:val="24"/>
          <w:szCs w:val="24"/>
          <w:lang w:val="ro-RO"/>
        </w:rPr>
        <w:t xml:space="preserve"> precedent resim</w:t>
      </w:r>
      <w:r w:rsidR="00C440BA">
        <w:rPr>
          <w:rFonts w:ascii="Times New Roman" w:hAnsi="Times New Roman" w:cs="Times New Roman"/>
          <w:sz w:val="24"/>
          <w:szCs w:val="24"/>
          <w:lang w:val="ro-RO"/>
        </w:rPr>
        <w:t>ț</w:t>
      </w:r>
      <w:r w:rsidR="001E7523" w:rsidRPr="00815699">
        <w:rPr>
          <w:rFonts w:ascii="Times New Roman" w:hAnsi="Times New Roman" w:cs="Times New Roman"/>
          <w:sz w:val="24"/>
          <w:szCs w:val="24"/>
          <w:lang w:val="ro-RO"/>
        </w:rPr>
        <w:t>i</w:t>
      </w:r>
      <w:r w:rsidR="00C440BA">
        <w:rPr>
          <w:rFonts w:ascii="Times New Roman" w:hAnsi="Times New Roman" w:cs="Times New Roman"/>
          <w:sz w:val="24"/>
          <w:szCs w:val="24"/>
          <w:lang w:val="ro-RO"/>
        </w:rPr>
        <w:t>tă</w:t>
      </w:r>
      <w:r w:rsidR="001E7523" w:rsidRPr="00815699">
        <w:rPr>
          <w:rFonts w:ascii="Times New Roman" w:hAnsi="Times New Roman" w:cs="Times New Roman"/>
          <w:sz w:val="24"/>
          <w:szCs w:val="24"/>
          <w:lang w:val="ro-RO"/>
        </w:rPr>
        <w:t xml:space="preserve"> de </w:t>
      </w:r>
      <w:r w:rsidR="00473E14" w:rsidRPr="00815699">
        <w:rPr>
          <w:rFonts w:ascii="Times New Roman" w:hAnsi="Times New Roman" w:cs="Times New Roman"/>
          <w:sz w:val="24"/>
          <w:szCs w:val="24"/>
          <w:lang w:val="ro-RO"/>
        </w:rPr>
        <w:t xml:space="preserve">cei mai mulți dintre </w:t>
      </w:r>
      <w:r w:rsidR="001E7523" w:rsidRPr="00815699">
        <w:rPr>
          <w:rFonts w:ascii="Times New Roman" w:hAnsi="Times New Roman" w:cs="Times New Roman"/>
          <w:sz w:val="24"/>
          <w:szCs w:val="24"/>
          <w:lang w:val="ro-RO"/>
        </w:rPr>
        <w:t>magistra</w:t>
      </w:r>
      <w:r w:rsidR="00C440BA">
        <w:rPr>
          <w:rFonts w:ascii="Times New Roman" w:hAnsi="Times New Roman" w:cs="Times New Roman"/>
          <w:sz w:val="24"/>
          <w:szCs w:val="24"/>
          <w:lang w:val="ro-RO"/>
        </w:rPr>
        <w:t>ț</w:t>
      </w:r>
      <w:r w:rsidR="001E7523" w:rsidRPr="00815699">
        <w:rPr>
          <w:rFonts w:ascii="Times New Roman" w:hAnsi="Times New Roman" w:cs="Times New Roman"/>
          <w:sz w:val="24"/>
          <w:szCs w:val="24"/>
          <w:lang w:val="ro-RO"/>
        </w:rPr>
        <w:t xml:space="preserve">i. </w:t>
      </w:r>
    </w:p>
    <w:p w:rsidR="00761120" w:rsidRPr="00815699" w:rsidRDefault="00473E14" w:rsidP="006266A5">
      <w:pPr>
        <w:tabs>
          <w:tab w:val="left" w:pos="1800"/>
        </w:tabs>
        <w:spacing w:after="0" w:line="360" w:lineRule="auto"/>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ab/>
        <w:t>Dup</w:t>
      </w:r>
      <w:r w:rsidR="00C440BA">
        <w:rPr>
          <w:rFonts w:ascii="Times New Roman" w:hAnsi="Times New Roman" w:cs="Times New Roman"/>
          <w:sz w:val="24"/>
          <w:szCs w:val="24"/>
          <w:lang w:val="ro-RO"/>
        </w:rPr>
        <w:t>ă</w:t>
      </w:r>
      <w:r w:rsidRPr="00815699">
        <w:rPr>
          <w:rFonts w:ascii="Times New Roman" w:hAnsi="Times New Roman" w:cs="Times New Roman"/>
          <w:sz w:val="24"/>
          <w:szCs w:val="24"/>
          <w:lang w:val="ro-RO"/>
        </w:rPr>
        <w:t xml:space="preserve"> trei decenii î</w:t>
      </w:r>
      <w:r w:rsidR="001E7523" w:rsidRPr="00815699">
        <w:rPr>
          <w:rFonts w:ascii="Times New Roman" w:hAnsi="Times New Roman" w:cs="Times New Roman"/>
          <w:sz w:val="24"/>
          <w:szCs w:val="24"/>
          <w:lang w:val="ro-RO"/>
        </w:rPr>
        <w:t>n care, pe etape diferite, statul roman s-a angajat s</w:t>
      </w:r>
      <w:r w:rsidR="00C440BA">
        <w:rPr>
          <w:rFonts w:ascii="Times New Roman" w:hAnsi="Times New Roman" w:cs="Times New Roman"/>
          <w:sz w:val="24"/>
          <w:szCs w:val="24"/>
          <w:lang w:val="ro-RO"/>
        </w:rPr>
        <w:t>ă</w:t>
      </w:r>
      <w:r w:rsidR="001E7523" w:rsidRPr="00815699">
        <w:rPr>
          <w:rFonts w:ascii="Times New Roman" w:hAnsi="Times New Roman" w:cs="Times New Roman"/>
          <w:sz w:val="24"/>
          <w:szCs w:val="24"/>
          <w:lang w:val="ro-RO"/>
        </w:rPr>
        <w:t xml:space="preserve"> creeze cadrul propice </w:t>
      </w:r>
      <w:r w:rsidR="00761120" w:rsidRPr="00815699">
        <w:rPr>
          <w:rFonts w:ascii="Times New Roman" w:hAnsi="Times New Roman" w:cs="Times New Roman"/>
          <w:sz w:val="24"/>
          <w:szCs w:val="24"/>
          <w:lang w:val="ro-RO"/>
        </w:rPr>
        <w:t>aplic</w:t>
      </w:r>
      <w:r w:rsidRPr="00815699">
        <w:rPr>
          <w:rFonts w:ascii="Times New Roman" w:hAnsi="Times New Roman" w:cs="Times New Roman"/>
          <w:sz w:val="24"/>
          <w:szCs w:val="24"/>
          <w:lang w:val="ro-RO"/>
        </w:rPr>
        <w:t>ă</w:t>
      </w:r>
      <w:r w:rsidR="00761120" w:rsidRPr="00815699">
        <w:rPr>
          <w:rFonts w:ascii="Times New Roman" w:hAnsi="Times New Roman" w:cs="Times New Roman"/>
          <w:sz w:val="24"/>
          <w:szCs w:val="24"/>
          <w:lang w:val="ro-RO"/>
        </w:rPr>
        <w:t xml:space="preserve">rii </w:t>
      </w:r>
      <w:r w:rsidR="001E7523" w:rsidRPr="00815699">
        <w:rPr>
          <w:rFonts w:ascii="Times New Roman" w:hAnsi="Times New Roman" w:cs="Times New Roman"/>
          <w:sz w:val="24"/>
          <w:szCs w:val="24"/>
          <w:lang w:val="ro-RO"/>
        </w:rPr>
        <w:t xml:space="preserve">domniei legii si </w:t>
      </w:r>
      <w:r w:rsidR="001E7523" w:rsidRPr="0054623F">
        <w:rPr>
          <w:rFonts w:ascii="Times New Roman" w:hAnsi="Times New Roman" w:cs="Times New Roman"/>
          <w:sz w:val="24"/>
          <w:szCs w:val="24"/>
          <w:lang w:val="ro-RO"/>
        </w:rPr>
        <w:t>a</w:t>
      </w:r>
      <w:r w:rsidR="00C440BA" w:rsidRPr="0054623F">
        <w:rPr>
          <w:rFonts w:ascii="Times New Roman" w:hAnsi="Times New Roman" w:cs="Times New Roman"/>
          <w:sz w:val="24"/>
          <w:szCs w:val="24"/>
          <w:lang w:val="ro-RO"/>
        </w:rPr>
        <w:t>l</w:t>
      </w:r>
      <w:r w:rsidR="001E7523" w:rsidRPr="00815699">
        <w:rPr>
          <w:rFonts w:ascii="Times New Roman" w:hAnsi="Times New Roman" w:cs="Times New Roman"/>
          <w:sz w:val="24"/>
          <w:szCs w:val="24"/>
          <w:lang w:val="ro-RO"/>
        </w:rPr>
        <w:t xml:space="preserve"> independen</w:t>
      </w:r>
      <w:r w:rsidR="00C440BA">
        <w:rPr>
          <w:rFonts w:ascii="Times New Roman" w:hAnsi="Times New Roman" w:cs="Times New Roman"/>
          <w:sz w:val="24"/>
          <w:szCs w:val="24"/>
          <w:lang w:val="ro-RO"/>
        </w:rPr>
        <w:t>ț</w:t>
      </w:r>
      <w:r w:rsidR="00BC2F48" w:rsidRPr="00815699">
        <w:rPr>
          <w:rFonts w:ascii="Times New Roman" w:hAnsi="Times New Roman" w:cs="Times New Roman"/>
          <w:sz w:val="24"/>
          <w:szCs w:val="24"/>
          <w:lang w:val="ro-RO"/>
        </w:rPr>
        <w:t xml:space="preserve">ei sistemului judiciar, </w:t>
      </w:r>
      <w:r w:rsidRPr="00815699">
        <w:rPr>
          <w:rFonts w:ascii="Times New Roman" w:hAnsi="Times New Roman" w:cs="Times New Roman"/>
          <w:sz w:val="24"/>
          <w:szCs w:val="24"/>
          <w:lang w:val="ro-RO"/>
        </w:rPr>
        <w:t>iat</w:t>
      </w:r>
      <w:r w:rsidR="00C440BA">
        <w:rPr>
          <w:rFonts w:ascii="Times New Roman" w:hAnsi="Times New Roman" w:cs="Times New Roman"/>
          <w:sz w:val="24"/>
          <w:szCs w:val="24"/>
          <w:lang w:val="ro-RO"/>
        </w:rPr>
        <w:t>ă</w:t>
      </w:r>
      <w:r w:rsidRPr="00815699">
        <w:rPr>
          <w:rFonts w:ascii="Times New Roman" w:hAnsi="Times New Roman" w:cs="Times New Roman"/>
          <w:sz w:val="24"/>
          <w:szCs w:val="24"/>
          <w:lang w:val="ro-RO"/>
        </w:rPr>
        <w:t xml:space="preserve"> c</w:t>
      </w:r>
      <w:r w:rsidR="00C440BA">
        <w:rPr>
          <w:rFonts w:ascii="Times New Roman" w:hAnsi="Times New Roman" w:cs="Times New Roman"/>
          <w:sz w:val="24"/>
          <w:szCs w:val="24"/>
          <w:lang w:val="ro-RO"/>
        </w:rPr>
        <w:t xml:space="preserve">ă </w:t>
      </w:r>
      <w:r w:rsidRPr="00815699">
        <w:rPr>
          <w:rFonts w:ascii="Times New Roman" w:hAnsi="Times New Roman" w:cs="Times New Roman"/>
          <w:sz w:val="24"/>
          <w:szCs w:val="24"/>
          <w:lang w:val="ro-RO"/>
        </w:rPr>
        <w:t xml:space="preserve">ultimii </w:t>
      </w:r>
      <w:r w:rsidR="00761120" w:rsidRPr="00815699">
        <w:rPr>
          <w:rFonts w:ascii="Times New Roman" w:hAnsi="Times New Roman" w:cs="Times New Roman"/>
          <w:sz w:val="24"/>
          <w:szCs w:val="24"/>
          <w:lang w:val="ro-RO"/>
        </w:rPr>
        <w:t>ani au marcat o schimbare de pozi</w:t>
      </w:r>
      <w:r w:rsidR="00C440BA">
        <w:rPr>
          <w:rFonts w:ascii="Times New Roman" w:hAnsi="Times New Roman" w:cs="Times New Roman"/>
          <w:sz w:val="24"/>
          <w:szCs w:val="24"/>
          <w:lang w:val="ro-RO"/>
        </w:rPr>
        <w:t>ț</w:t>
      </w:r>
      <w:r w:rsidR="00761120" w:rsidRPr="00815699">
        <w:rPr>
          <w:rFonts w:ascii="Times New Roman" w:hAnsi="Times New Roman" w:cs="Times New Roman"/>
          <w:sz w:val="24"/>
          <w:szCs w:val="24"/>
          <w:lang w:val="ro-RO"/>
        </w:rPr>
        <w:t>ie,</w:t>
      </w:r>
      <w:r w:rsidRPr="00815699">
        <w:rPr>
          <w:rFonts w:ascii="Times New Roman" w:hAnsi="Times New Roman" w:cs="Times New Roman"/>
          <w:sz w:val="24"/>
          <w:szCs w:val="24"/>
          <w:lang w:val="ro-RO"/>
        </w:rPr>
        <w:t xml:space="preserve"> în sensul limitării independenț</w:t>
      </w:r>
      <w:r w:rsidR="00761120" w:rsidRPr="00815699">
        <w:rPr>
          <w:rFonts w:ascii="Times New Roman" w:hAnsi="Times New Roman" w:cs="Times New Roman"/>
          <w:sz w:val="24"/>
          <w:szCs w:val="24"/>
          <w:lang w:val="ro-RO"/>
        </w:rPr>
        <w:t>ei procurorului, a atribu</w:t>
      </w:r>
      <w:r w:rsidR="00C440BA">
        <w:rPr>
          <w:rFonts w:ascii="Times New Roman" w:hAnsi="Times New Roman" w:cs="Times New Roman"/>
          <w:sz w:val="24"/>
          <w:szCs w:val="24"/>
          <w:lang w:val="ro-RO"/>
        </w:rPr>
        <w:t>ț</w:t>
      </w:r>
      <w:r w:rsidR="00761120" w:rsidRPr="00815699">
        <w:rPr>
          <w:rFonts w:ascii="Times New Roman" w:hAnsi="Times New Roman" w:cs="Times New Roman"/>
          <w:sz w:val="24"/>
          <w:szCs w:val="24"/>
          <w:lang w:val="ro-RO"/>
        </w:rPr>
        <w:t xml:space="preserve">iilor procurorului general al PICCJ </w:t>
      </w:r>
      <w:r w:rsidR="00C440BA">
        <w:rPr>
          <w:rFonts w:ascii="Times New Roman" w:hAnsi="Times New Roman" w:cs="Times New Roman"/>
          <w:sz w:val="24"/>
          <w:szCs w:val="24"/>
          <w:lang w:val="ro-RO"/>
        </w:rPr>
        <w:t>ș</w:t>
      </w:r>
      <w:r w:rsidR="00761120" w:rsidRPr="00815699">
        <w:rPr>
          <w:rFonts w:ascii="Times New Roman" w:hAnsi="Times New Roman" w:cs="Times New Roman"/>
          <w:sz w:val="24"/>
          <w:szCs w:val="24"/>
          <w:lang w:val="ro-RO"/>
        </w:rPr>
        <w:t>i a</w:t>
      </w:r>
      <w:r w:rsidRPr="00815699">
        <w:rPr>
          <w:rFonts w:ascii="Times New Roman" w:hAnsi="Times New Roman" w:cs="Times New Roman"/>
          <w:sz w:val="24"/>
          <w:szCs w:val="24"/>
          <w:lang w:val="ro-RO"/>
        </w:rPr>
        <w:t>l creării unei fracturi î</w:t>
      </w:r>
      <w:r w:rsidR="00761120" w:rsidRPr="00815699">
        <w:rPr>
          <w:rFonts w:ascii="Times New Roman" w:hAnsi="Times New Roman" w:cs="Times New Roman"/>
          <w:sz w:val="24"/>
          <w:szCs w:val="24"/>
          <w:lang w:val="ro-RO"/>
        </w:rPr>
        <w:t>ntre carierele judec</w:t>
      </w:r>
      <w:r w:rsidR="00C440BA">
        <w:rPr>
          <w:rFonts w:ascii="Times New Roman" w:hAnsi="Times New Roman" w:cs="Times New Roman"/>
          <w:sz w:val="24"/>
          <w:szCs w:val="24"/>
          <w:lang w:val="ro-RO"/>
        </w:rPr>
        <w:t>ă</w:t>
      </w:r>
      <w:r w:rsidR="00761120" w:rsidRPr="00815699">
        <w:rPr>
          <w:rFonts w:ascii="Times New Roman" w:hAnsi="Times New Roman" w:cs="Times New Roman"/>
          <w:sz w:val="24"/>
          <w:szCs w:val="24"/>
          <w:lang w:val="ro-RO"/>
        </w:rPr>
        <w:t>torilor,</w:t>
      </w:r>
      <w:r w:rsidRPr="00815699">
        <w:rPr>
          <w:rFonts w:ascii="Times New Roman" w:hAnsi="Times New Roman" w:cs="Times New Roman"/>
          <w:sz w:val="24"/>
          <w:szCs w:val="24"/>
          <w:lang w:val="ro-RO"/>
        </w:rPr>
        <w:t xml:space="preserve"> respectiv</w:t>
      </w:r>
      <w:r w:rsidR="00761120" w:rsidRPr="00815699">
        <w:rPr>
          <w:rFonts w:ascii="Times New Roman" w:hAnsi="Times New Roman" w:cs="Times New Roman"/>
          <w:sz w:val="24"/>
          <w:szCs w:val="24"/>
          <w:lang w:val="ro-RO"/>
        </w:rPr>
        <w:t xml:space="preserve"> ale procurorilor.</w:t>
      </w:r>
    </w:p>
    <w:p w:rsidR="001E7523" w:rsidRPr="00815699" w:rsidRDefault="00761120" w:rsidP="006266A5">
      <w:pPr>
        <w:tabs>
          <w:tab w:val="left" w:pos="1800"/>
        </w:tabs>
        <w:spacing w:after="0" w:line="360" w:lineRule="auto"/>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ab/>
        <w:t xml:space="preserve"> Modific</w:t>
      </w:r>
      <w:r w:rsidR="00C440BA">
        <w:rPr>
          <w:rFonts w:ascii="Times New Roman" w:hAnsi="Times New Roman" w:cs="Times New Roman"/>
          <w:sz w:val="24"/>
          <w:szCs w:val="24"/>
          <w:lang w:val="ro-RO"/>
        </w:rPr>
        <w:t>ă</w:t>
      </w:r>
      <w:r w:rsidRPr="00815699">
        <w:rPr>
          <w:rFonts w:ascii="Times New Roman" w:hAnsi="Times New Roman" w:cs="Times New Roman"/>
          <w:sz w:val="24"/>
          <w:szCs w:val="24"/>
          <w:lang w:val="ro-RO"/>
        </w:rPr>
        <w:t>rile succesive ale legilor justi</w:t>
      </w:r>
      <w:r w:rsidR="00C440BA">
        <w:rPr>
          <w:rFonts w:ascii="Times New Roman" w:hAnsi="Times New Roman" w:cs="Times New Roman"/>
          <w:sz w:val="24"/>
          <w:szCs w:val="24"/>
          <w:lang w:val="ro-RO"/>
        </w:rPr>
        <w:t>ț</w:t>
      </w:r>
      <w:r w:rsidRPr="00815699">
        <w:rPr>
          <w:rFonts w:ascii="Times New Roman" w:hAnsi="Times New Roman" w:cs="Times New Roman"/>
          <w:sz w:val="24"/>
          <w:szCs w:val="24"/>
          <w:lang w:val="ro-RO"/>
        </w:rPr>
        <w:t>iei, ale c</w:t>
      </w:r>
      <w:r w:rsidR="00473E14" w:rsidRPr="00815699">
        <w:rPr>
          <w:rFonts w:ascii="Times New Roman" w:hAnsi="Times New Roman" w:cs="Times New Roman"/>
          <w:sz w:val="24"/>
          <w:szCs w:val="24"/>
          <w:lang w:val="ro-RO"/>
        </w:rPr>
        <w:t>odului penal/de procedură penală</w:t>
      </w:r>
      <w:r w:rsidRPr="00815699">
        <w:rPr>
          <w:rFonts w:ascii="Times New Roman" w:hAnsi="Times New Roman" w:cs="Times New Roman"/>
          <w:sz w:val="24"/>
          <w:szCs w:val="24"/>
          <w:lang w:val="ro-RO"/>
        </w:rPr>
        <w:t xml:space="preserve">, ale unor legi speciale </w:t>
      </w:r>
      <w:r w:rsidR="00426F30" w:rsidRPr="00815699">
        <w:rPr>
          <w:rFonts w:ascii="Times New Roman" w:hAnsi="Times New Roman" w:cs="Times New Roman"/>
          <w:sz w:val="24"/>
          <w:szCs w:val="24"/>
          <w:lang w:val="ro-RO"/>
        </w:rPr>
        <w:t>care organizeaz</w:t>
      </w:r>
      <w:r w:rsidR="00C440BA">
        <w:rPr>
          <w:rFonts w:ascii="Times New Roman" w:hAnsi="Times New Roman" w:cs="Times New Roman"/>
          <w:sz w:val="24"/>
          <w:szCs w:val="24"/>
          <w:lang w:val="ro-RO"/>
        </w:rPr>
        <w:t>ă</w:t>
      </w:r>
      <w:r w:rsidR="00426F30" w:rsidRPr="00815699">
        <w:rPr>
          <w:rFonts w:ascii="Times New Roman" w:hAnsi="Times New Roman" w:cs="Times New Roman"/>
          <w:sz w:val="24"/>
          <w:szCs w:val="24"/>
          <w:lang w:val="ro-RO"/>
        </w:rPr>
        <w:t xml:space="preserve"> activitatea uno</w:t>
      </w:r>
      <w:r w:rsidR="00473E14" w:rsidRPr="00815699">
        <w:rPr>
          <w:rFonts w:ascii="Times New Roman" w:hAnsi="Times New Roman" w:cs="Times New Roman"/>
          <w:sz w:val="24"/>
          <w:szCs w:val="24"/>
          <w:lang w:val="ro-RO"/>
        </w:rPr>
        <w:t>r parchete sau competenț</w:t>
      </w:r>
      <w:r w:rsidR="00426F30" w:rsidRPr="00815699">
        <w:rPr>
          <w:rFonts w:ascii="Times New Roman" w:hAnsi="Times New Roman" w:cs="Times New Roman"/>
          <w:sz w:val="24"/>
          <w:szCs w:val="24"/>
          <w:lang w:val="ro-RO"/>
        </w:rPr>
        <w:t>a legal</w:t>
      </w:r>
      <w:r w:rsidR="00C440BA">
        <w:rPr>
          <w:rFonts w:ascii="Times New Roman" w:hAnsi="Times New Roman" w:cs="Times New Roman"/>
          <w:sz w:val="24"/>
          <w:szCs w:val="24"/>
          <w:lang w:val="ro-RO"/>
        </w:rPr>
        <w:t>ă</w:t>
      </w:r>
      <w:r w:rsidR="00426F30" w:rsidRPr="00815699">
        <w:rPr>
          <w:rFonts w:ascii="Times New Roman" w:hAnsi="Times New Roman" w:cs="Times New Roman"/>
          <w:sz w:val="24"/>
          <w:szCs w:val="24"/>
          <w:lang w:val="ro-RO"/>
        </w:rPr>
        <w:t xml:space="preserve"> a aces</w:t>
      </w:r>
      <w:r w:rsidR="00C440BA">
        <w:rPr>
          <w:rFonts w:ascii="Times New Roman" w:hAnsi="Times New Roman" w:cs="Times New Roman"/>
          <w:sz w:val="24"/>
          <w:szCs w:val="24"/>
          <w:lang w:val="ro-RO"/>
        </w:rPr>
        <w:t>t</w:t>
      </w:r>
      <w:r w:rsidR="00426F30" w:rsidRPr="00815699">
        <w:rPr>
          <w:rFonts w:ascii="Times New Roman" w:hAnsi="Times New Roman" w:cs="Times New Roman"/>
          <w:sz w:val="24"/>
          <w:szCs w:val="24"/>
          <w:lang w:val="ro-RO"/>
        </w:rPr>
        <w:t>ora, toate indic</w:t>
      </w:r>
      <w:r w:rsidR="00C440BA">
        <w:rPr>
          <w:rFonts w:ascii="Times New Roman" w:hAnsi="Times New Roman" w:cs="Times New Roman"/>
          <w:sz w:val="24"/>
          <w:szCs w:val="24"/>
          <w:lang w:val="ro-RO"/>
        </w:rPr>
        <w:t>â</w:t>
      </w:r>
      <w:r w:rsidR="00426F30" w:rsidRPr="00815699">
        <w:rPr>
          <w:rFonts w:ascii="Times New Roman" w:hAnsi="Times New Roman" w:cs="Times New Roman"/>
          <w:sz w:val="24"/>
          <w:szCs w:val="24"/>
          <w:lang w:val="ro-RO"/>
        </w:rPr>
        <w:t xml:space="preserve">nd </w:t>
      </w:r>
      <w:r w:rsidR="00473E14" w:rsidRPr="00815699">
        <w:rPr>
          <w:rFonts w:ascii="Times New Roman" w:hAnsi="Times New Roman" w:cs="Times New Roman"/>
          <w:sz w:val="24"/>
          <w:szCs w:val="24"/>
          <w:lang w:val="ro-RO"/>
        </w:rPr>
        <w:t>”</w:t>
      </w:r>
      <w:r w:rsidR="00426F30" w:rsidRPr="00815699">
        <w:rPr>
          <w:rFonts w:ascii="Times New Roman" w:hAnsi="Times New Roman" w:cs="Times New Roman"/>
          <w:sz w:val="24"/>
          <w:szCs w:val="24"/>
          <w:lang w:val="ro-RO"/>
        </w:rPr>
        <w:t>o reac</w:t>
      </w:r>
      <w:r w:rsidR="00C440BA">
        <w:rPr>
          <w:rFonts w:ascii="Times New Roman" w:hAnsi="Times New Roman" w:cs="Times New Roman"/>
          <w:sz w:val="24"/>
          <w:szCs w:val="24"/>
          <w:lang w:val="ro-RO"/>
        </w:rPr>
        <w:t>ț</w:t>
      </w:r>
      <w:r w:rsidR="00426F30" w:rsidRPr="00815699">
        <w:rPr>
          <w:rFonts w:ascii="Times New Roman" w:hAnsi="Times New Roman" w:cs="Times New Roman"/>
          <w:sz w:val="24"/>
          <w:szCs w:val="24"/>
          <w:lang w:val="ro-RO"/>
        </w:rPr>
        <w:t>ie la abuzurile comise in justi</w:t>
      </w:r>
      <w:r w:rsidR="00C440BA">
        <w:rPr>
          <w:rFonts w:ascii="Times New Roman" w:hAnsi="Times New Roman" w:cs="Times New Roman"/>
          <w:sz w:val="24"/>
          <w:szCs w:val="24"/>
          <w:lang w:val="ro-RO"/>
        </w:rPr>
        <w:t>ț</w:t>
      </w:r>
      <w:r w:rsidR="00426F30" w:rsidRPr="00815699">
        <w:rPr>
          <w:rFonts w:ascii="Times New Roman" w:hAnsi="Times New Roman" w:cs="Times New Roman"/>
          <w:sz w:val="24"/>
          <w:szCs w:val="24"/>
          <w:lang w:val="ro-RO"/>
        </w:rPr>
        <w:t>ie</w:t>
      </w:r>
      <w:r w:rsidR="00473E14" w:rsidRPr="00815699">
        <w:rPr>
          <w:rFonts w:ascii="Times New Roman" w:hAnsi="Times New Roman" w:cs="Times New Roman"/>
          <w:sz w:val="24"/>
          <w:szCs w:val="24"/>
          <w:lang w:val="ro-RO"/>
        </w:rPr>
        <w:t>”</w:t>
      </w:r>
      <w:r w:rsidR="00426F30" w:rsidRPr="00815699">
        <w:rPr>
          <w:rFonts w:ascii="Times New Roman" w:hAnsi="Times New Roman" w:cs="Times New Roman"/>
          <w:sz w:val="24"/>
          <w:szCs w:val="24"/>
          <w:lang w:val="ro-RO"/>
        </w:rPr>
        <w:t>,</w:t>
      </w:r>
      <w:r w:rsidR="00473E14" w:rsidRPr="00815699">
        <w:rPr>
          <w:rFonts w:ascii="Times New Roman" w:hAnsi="Times New Roman" w:cs="Times New Roman"/>
          <w:sz w:val="24"/>
          <w:szCs w:val="24"/>
          <w:lang w:val="ro-RO"/>
        </w:rPr>
        <w:t xml:space="preserve"> </w:t>
      </w:r>
      <w:r w:rsidR="00C440BA">
        <w:rPr>
          <w:rFonts w:ascii="Times New Roman" w:hAnsi="Times New Roman" w:cs="Times New Roman"/>
          <w:sz w:val="24"/>
          <w:szCs w:val="24"/>
          <w:lang w:val="ro-RO"/>
        </w:rPr>
        <w:t>î</w:t>
      </w:r>
      <w:r w:rsidR="00426F30" w:rsidRPr="00815699">
        <w:rPr>
          <w:rFonts w:ascii="Times New Roman" w:hAnsi="Times New Roman" w:cs="Times New Roman"/>
          <w:sz w:val="24"/>
          <w:szCs w:val="24"/>
          <w:lang w:val="ro-RO"/>
        </w:rPr>
        <w:t xml:space="preserve">n special </w:t>
      </w:r>
      <w:r w:rsidR="00C440BA">
        <w:rPr>
          <w:rFonts w:ascii="Times New Roman" w:hAnsi="Times New Roman" w:cs="Times New Roman"/>
          <w:sz w:val="24"/>
          <w:szCs w:val="24"/>
          <w:lang w:val="ro-RO"/>
        </w:rPr>
        <w:t>î</w:t>
      </w:r>
      <w:r w:rsidR="00426F30" w:rsidRPr="00815699">
        <w:rPr>
          <w:rFonts w:ascii="Times New Roman" w:hAnsi="Times New Roman" w:cs="Times New Roman"/>
          <w:sz w:val="24"/>
          <w:szCs w:val="24"/>
          <w:lang w:val="ro-RO"/>
        </w:rPr>
        <w:t>n anchetele parchetelor (cu prec</w:t>
      </w:r>
      <w:r w:rsidR="00C440BA">
        <w:rPr>
          <w:rFonts w:ascii="Times New Roman" w:hAnsi="Times New Roman" w:cs="Times New Roman"/>
          <w:sz w:val="24"/>
          <w:szCs w:val="24"/>
          <w:lang w:val="ro-RO"/>
        </w:rPr>
        <w:t>ă</w:t>
      </w:r>
      <w:r w:rsidR="00426F30" w:rsidRPr="00815699">
        <w:rPr>
          <w:rFonts w:ascii="Times New Roman" w:hAnsi="Times New Roman" w:cs="Times New Roman"/>
          <w:sz w:val="24"/>
          <w:szCs w:val="24"/>
          <w:lang w:val="ro-RO"/>
        </w:rPr>
        <w:t>dere ale parchetului anticorup</w:t>
      </w:r>
      <w:r w:rsidR="00C440BA">
        <w:rPr>
          <w:rFonts w:ascii="Times New Roman" w:hAnsi="Times New Roman" w:cs="Times New Roman"/>
          <w:sz w:val="24"/>
          <w:szCs w:val="24"/>
          <w:lang w:val="ro-RO"/>
        </w:rPr>
        <w:t>ț</w:t>
      </w:r>
      <w:r w:rsidR="00426F30" w:rsidRPr="00815699">
        <w:rPr>
          <w:rFonts w:ascii="Times New Roman" w:hAnsi="Times New Roman" w:cs="Times New Roman"/>
          <w:sz w:val="24"/>
          <w:szCs w:val="24"/>
          <w:lang w:val="ro-RO"/>
        </w:rPr>
        <w:t>ie) au indus o percep</w:t>
      </w:r>
      <w:r w:rsidR="0054623F">
        <w:rPr>
          <w:rFonts w:ascii="Times New Roman" w:hAnsi="Times New Roman" w:cs="Times New Roman"/>
          <w:sz w:val="24"/>
          <w:szCs w:val="24"/>
          <w:lang w:val="ro-RO"/>
        </w:rPr>
        <w:t>ț</w:t>
      </w:r>
      <w:r w:rsidR="00426F30" w:rsidRPr="00815699">
        <w:rPr>
          <w:rFonts w:ascii="Times New Roman" w:hAnsi="Times New Roman" w:cs="Times New Roman"/>
          <w:sz w:val="24"/>
          <w:szCs w:val="24"/>
          <w:lang w:val="ro-RO"/>
        </w:rPr>
        <w:t>ie social</w:t>
      </w:r>
      <w:r w:rsidR="0054623F">
        <w:rPr>
          <w:rFonts w:ascii="Times New Roman" w:hAnsi="Times New Roman" w:cs="Times New Roman"/>
          <w:sz w:val="24"/>
          <w:szCs w:val="24"/>
          <w:lang w:val="ro-RO"/>
        </w:rPr>
        <w:t>ă</w:t>
      </w:r>
      <w:r w:rsidR="00426F30" w:rsidRPr="00815699">
        <w:rPr>
          <w:rFonts w:ascii="Times New Roman" w:hAnsi="Times New Roman" w:cs="Times New Roman"/>
          <w:sz w:val="24"/>
          <w:szCs w:val="24"/>
          <w:lang w:val="ro-RO"/>
        </w:rPr>
        <w:t xml:space="preserve"> deformat</w:t>
      </w:r>
      <w:r w:rsidR="0054623F">
        <w:rPr>
          <w:rFonts w:ascii="Times New Roman" w:hAnsi="Times New Roman" w:cs="Times New Roman"/>
          <w:sz w:val="24"/>
          <w:szCs w:val="24"/>
          <w:lang w:val="ro-RO"/>
        </w:rPr>
        <w:t>ă</w:t>
      </w:r>
      <w:r w:rsidR="00426F30" w:rsidRPr="00815699">
        <w:rPr>
          <w:rFonts w:ascii="Times New Roman" w:hAnsi="Times New Roman" w:cs="Times New Roman"/>
          <w:sz w:val="24"/>
          <w:szCs w:val="24"/>
          <w:lang w:val="ro-RO"/>
        </w:rPr>
        <w:t xml:space="preserve"> asupra activit</w:t>
      </w:r>
      <w:r w:rsidR="0054623F">
        <w:rPr>
          <w:rFonts w:ascii="Times New Roman" w:hAnsi="Times New Roman" w:cs="Times New Roman"/>
          <w:sz w:val="24"/>
          <w:szCs w:val="24"/>
          <w:lang w:val="ro-RO"/>
        </w:rPr>
        <w:t>ăț</w:t>
      </w:r>
      <w:r w:rsidR="00426F30" w:rsidRPr="00815699">
        <w:rPr>
          <w:rFonts w:ascii="Times New Roman" w:hAnsi="Times New Roman" w:cs="Times New Roman"/>
          <w:sz w:val="24"/>
          <w:szCs w:val="24"/>
          <w:lang w:val="ro-RO"/>
        </w:rPr>
        <w:t>ii acestora</w:t>
      </w:r>
      <w:r w:rsidR="0054623F">
        <w:rPr>
          <w:rFonts w:ascii="Times New Roman" w:hAnsi="Times New Roman" w:cs="Times New Roman"/>
          <w:sz w:val="24"/>
          <w:szCs w:val="24"/>
          <w:lang w:val="ro-RO"/>
        </w:rPr>
        <w:t xml:space="preserve"> </w:t>
      </w:r>
      <w:r w:rsidR="00473E14" w:rsidRPr="00815699">
        <w:rPr>
          <w:rFonts w:ascii="Times New Roman" w:hAnsi="Times New Roman" w:cs="Times New Roman"/>
          <w:sz w:val="24"/>
          <w:szCs w:val="24"/>
          <w:lang w:val="ro-RO"/>
        </w:rPr>
        <w:t>și au erodat imaginea Ministerului Public</w:t>
      </w:r>
      <w:r w:rsidR="00426F30" w:rsidRPr="00815699">
        <w:rPr>
          <w:rFonts w:ascii="Times New Roman" w:hAnsi="Times New Roman" w:cs="Times New Roman"/>
          <w:sz w:val="24"/>
          <w:szCs w:val="24"/>
          <w:lang w:val="ro-RO"/>
        </w:rPr>
        <w:t>. Astfel, prin extinderea unor situa</w:t>
      </w:r>
      <w:r w:rsidR="0054623F">
        <w:rPr>
          <w:rFonts w:ascii="Times New Roman" w:hAnsi="Times New Roman" w:cs="Times New Roman"/>
          <w:sz w:val="24"/>
          <w:szCs w:val="24"/>
          <w:lang w:val="ro-RO"/>
        </w:rPr>
        <w:t>ț</w:t>
      </w:r>
      <w:r w:rsidR="00426F30" w:rsidRPr="00815699">
        <w:rPr>
          <w:rFonts w:ascii="Times New Roman" w:hAnsi="Times New Roman" w:cs="Times New Roman"/>
          <w:sz w:val="24"/>
          <w:szCs w:val="24"/>
          <w:lang w:val="ro-RO"/>
        </w:rPr>
        <w:t xml:space="preserve">ii </w:t>
      </w:r>
      <w:r w:rsidR="0054623F">
        <w:rPr>
          <w:rFonts w:ascii="Times New Roman" w:hAnsi="Times New Roman" w:cs="Times New Roman"/>
          <w:sz w:val="24"/>
          <w:szCs w:val="24"/>
          <w:lang w:val="ro-RO"/>
        </w:rPr>
        <w:t>în</w:t>
      </w:r>
      <w:r w:rsidR="00426F30" w:rsidRPr="00815699">
        <w:rPr>
          <w:rFonts w:ascii="Times New Roman" w:hAnsi="Times New Roman" w:cs="Times New Roman"/>
          <w:sz w:val="24"/>
          <w:szCs w:val="24"/>
          <w:lang w:val="ro-RO"/>
        </w:rPr>
        <w:t xml:space="preserve"> care s-a reclamat un comportament judiciar</w:t>
      </w:r>
      <w:r w:rsidR="00473E14" w:rsidRPr="00815699">
        <w:rPr>
          <w:rFonts w:ascii="Times New Roman" w:hAnsi="Times New Roman" w:cs="Times New Roman"/>
          <w:sz w:val="24"/>
          <w:szCs w:val="24"/>
          <w:lang w:val="ro-RO"/>
        </w:rPr>
        <w:t xml:space="preserve"> inadecvat, situa</w:t>
      </w:r>
      <w:r w:rsidR="0054623F">
        <w:rPr>
          <w:rFonts w:ascii="Times New Roman" w:hAnsi="Times New Roman" w:cs="Times New Roman"/>
          <w:sz w:val="24"/>
          <w:szCs w:val="24"/>
          <w:lang w:val="ro-RO"/>
        </w:rPr>
        <w:t>ț</w:t>
      </w:r>
      <w:r w:rsidR="00473E14" w:rsidRPr="00815699">
        <w:rPr>
          <w:rFonts w:ascii="Times New Roman" w:hAnsi="Times New Roman" w:cs="Times New Roman"/>
          <w:sz w:val="24"/>
          <w:szCs w:val="24"/>
          <w:lang w:val="ro-RO"/>
        </w:rPr>
        <w:t>ii care sunt încă</w:t>
      </w:r>
      <w:r w:rsidR="00426F30" w:rsidRPr="00815699">
        <w:rPr>
          <w:rFonts w:ascii="Times New Roman" w:hAnsi="Times New Roman" w:cs="Times New Roman"/>
          <w:sz w:val="24"/>
          <w:szCs w:val="24"/>
          <w:lang w:val="ro-RO"/>
        </w:rPr>
        <w:t xml:space="preserve"> verificate, s-au creat frustr</w:t>
      </w:r>
      <w:r w:rsidR="0054623F">
        <w:rPr>
          <w:rFonts w:ascii="Times New Roman" w:hAnsi="Times New Roman" w:cs="Times New Roman"/>
          <w:sz w:val="24"/>
          <w:szCs w:val="24"/>
          <w:lang w:val="ro-RO"/>
        </w:rPr>
        <w:t>ă</w:t>
      </w:r>
      <w:r w:rsidR="00426F30" w:rsidRPr="00815699">
        <w:rPr>
          <w:rFonts w:ascii="Times New Roman" w:hAnsi="Times New Roman" w:cs="Times New Roman"/>
          <w:sz w:val="24"/>
          <w:szCs w:val="24"/>
          <w:lang w:val="ro-RO"/>
        </w:rPr>
        <w:t xml:space="preserve">ri la nivelul </w:t>
      </w:r>
      <w:r w:rsidR="0054623F">
        <w:rPr>
          <w:rFonts w:ascii="Times New Roman" w:hAnsi="Times New Roman" w:cs="Times New Roman"/>
          <w:sz w:val="24"/>
          <w:szCs w:val="24"/>
          <w:lang w:val="ro-RO"/>
        </w:rPr>
        <w:t>î</w:t>
      </w:r>
      <w:r w:rsidR="00426F30" w:rsidRPr="00815699">
        <w:rPr>
          <w:rFonts w:ascii="Times New Roman" w:hAnsi="Times New Roman" w:cs="Times New Roman"/>
          <w:sz w:val="24"/>
          <w:szCs w:val="24"/>
          <w:lang w:val="ro-RO"/>
        </w:rPr>
        <w:t xml:space="preserve">ntregului corp profesional, care </w:t>
      </w:r>
      <w:r w:rsidR="0054623F">
        <w:rPr>
          <w:rFonts w:ascii="Times New Roman" w:hAnsi="Times New Roman" w:cs="Times New Roman"/>
          <w:sz w:val="24"/>
          <w:szCs w:val="24"/>
          <w:lang w:val="ro-RO"/>
        </w:rPr>
        <w:t>î</w:t>
      </w:r>
      <w:r w:rsidR="00426F30" w:rsidRPr="00815699">
        <w:rPr>
          <w:rFonts w:ascii="Times New Roman" w:hAnsi="Times New Roman" w:cs="Times New Roman"/>
          <w:sz w:val="24"/>
          <w:szCs w:val="24"/>
          <w:lang w:val="ro-RO"/>
        </w:rPr>
        <w:t xml:space="preserve">n majoritate zdrobitoare </w:t>
      </w:r>
      <w:r w:rsidR="0054623F">
        <w:rPr>
          <w:rFonts w:ascii="Times New Roman" w:hAnsi="Times New Roman" w:cs="Times New Roman"/>
          <w:sz w:val="24"/>
          <w:szCs w:val="24"/>
          <w:lang w:val="ro-RO"/>
        </w:rPr>
        <w:t>îș</w:t>
      </w:r>
      <w:r w:rsidR="00426F30" w:rsidRPr="00815699">
        <w:rPr>
          <w:rFonts w:ascii="Times New Roman" w:hAnsi="Times New Roman" w:cs="Times New Roman"/>
          <w:sz w:val="24"/>
          <w:szCs w:val="24"/>
          <w:lang w:val="ro-RO"/>
        </w:rPr>
        <w:t>i desf</w:t>
      </w:r>
      <w:r w:rsidR="0054623F">
        <w:rPr>
          <w:rFonts w:ascii="Times New Roman" w:hAnsi="Times New Roman" w:cs="Times New Roman"/>
          <w:sz w:val="24"/>
          <w:szCs w:val="24"/>
          <w:lang w:val="ro-RO"/>
        </w:rPr>
        <w:t>ăș</w:t>
      </w:r>
      <w:r w:rsidR="00426F30" w:rsidRPr="00815699">
        <w:rPr>
          <w:rFonts w:ascii="Times New Roman" w:hAnsi="Times New Roman" w:cs="Times New Roman"/>
          <w:sz w:val="24"/>
          <w:szCs w:val="24"/>
          <w:lang w:val="ro-RO"/>
        </w:rPr>
        <w:t>oar</w:t>
      </w:r>
      <w:r w:rsidR="0054623F">
        <w:rPr>
          <w:rFonts w:ascii="Times New Roman" w:hAnsi="Times New Roman" w:cs="Times New Roman"/>
          <w:sz w:val="24"/>
          <w:szCs w:val="24"/>
          <w:lang w:val="ro-RO"/>
        </w:rPr>
        <w:t>ă</w:t>
      </w:r>
      <w:r w:rsidR="00426F30" w:rsidRPr="00815699">
        <w:rPr>
          <w:rFonts w:ascii="Times New Roman" w:hAnsi="Times New Roman" w:cs="Times New Roman"/>
          <w:sz w:val="24"/>
          <w:szCs w:val="24"/>
          <w:lang w:val="ro-RO"/>
        </w:rPr>
        <w:t xml:space="preserve"> activitatea </w:t>
      </w:r>
      <w:r w:rsidR="0054623F">
        <w:rPr>
          <w:rFonts w:ascii="Times New Roman" w:hAnsi="Times New Roman" w:cs="Times New Roman"/>
          <w:sz w:val="24"/>
          <w:szCs w:val="24"/>
          <w:lang w:val="ro-RO"/>
        </w:rPr>
        <w:t>î</w:t>
      </w:r>
      <w:r w:rsidR="00426F30" w:rsidRPr="00815699">
        <w:rPr>
          <w:rFonts w:ascii="Times New Roman" w:hAnsi="Times New Roman" w:cs="Times New Roman"/>
          <w:sz w:val="24"/>
          <w:szCs w:val="24"/>
          <w:lang w:val="ro-RO"/>
        </w:rPr>
        <w:t>n parametrii stabili</w:t>
      </w:r>
      <w:r w:rsidR="0054623F">
        <w:rPr>
          <w:rFonts w:ascii="Times New Roman" w:hAnsi="Times New Roman" w:cs="Times New Roman"/>
          <w:sz w:val="24"/>
          <w:szCs w:val="24"/>
          <w:lang w:val="ro-RO"/>
        </w:rPr>
        <w:t>ț</w:t>
      </w:r>
      <w:r w:rsidR="00426F30" w:rsidRPr="00815699">
        <w:rPr>
          <w:rFonts w:ascii="Times New Roman" w:hAnsi="Times New Roman" w:cs="Times New Roman"/>
          <w:sz w:val="24"/>
          <w:szCs w:val="24"/>
          <w:lang w:val="ro-RO"/>
        </w:rPr>
        <w:t>i de lege, a interdic</w:t>
      </w:r>
      <w:r w:rsidR="0054623F">
        <w:rPr>
          <w:rFonts w:ascii="Times New Roman" w:hAnsi="Times New Roman" w:cs="Times New Roman"/>
          <w:sz w:val="24"/>
          <w:szCs w:val="24"/>
          <w:lang w:val="ro-RO"/>
        </w:rPr>
        <w:t>ț</w:t>
      </w:r>
      <w:r w:rsidR="00426F30" w:rsidRPr="00815699">
        <w:rPr>
          <w:rFonts w:ascii="Times New Roman" w:hAnsi="Times New Roman" w:cs="Times New Roman"/>
          <w:sz w:val="24"/>
          <w:szCs w:val="24"/>
          <w:lang w:val="ro-RO"/>
        </w:rPr>
        <w:t xml:space="preserve">iilor </w:t>
      </w:r>
      <w:r w:rsidR="0054623F">
        <w:rPr>
          <w:rFonts w:ascii="Times New Roman" w:hAnsi="Times New Roman" w:cs="Times New Roman"/>
          <w:sz w:val="24"/>
          <w:szCs w:val="24"/>
          <w:lang w:val="ro-RO"/>
        </w:rPr>
        <w:t>ș</w:t>
      </w:r>
      <w:r w:rsidR="00426F30" w:rsidRPr="00815699">
        <w:rPr>
          <w:rFonts w:ascii="Times New Roman" w:hAnsi="Times New Roman" w:cs="Times New Roman"/>
          <w:sz w:val="24"/>
          <w:szCs w:val="24"/>
          <w:lang w:val="ro-RO"/>
        </w:rPr>
        <w:t>i incompatibilit</w:t>
      </w:r>
      <w:r w:rsidR="0054623F">
        <w:rPr>
          <w:rFonts w:ascii="Times New Roman" w:hAnsi="Times New Roman" w:cs="Times New Roman"/>
          <w:sz w:val="24"/>
          <w:szCs w:val="24"/>
          <w:lang w:val="ro-RO"/>
        </w:rPr>
        <w:t>ăț</w:t>
      </w:r>
      <w:r w:rsidR="00426F30" w:rsidRPr="00815699">
        <w:rPr>
          <w:rFonts w:ascii="Times New Roman" w:hAnsi="Times New Roman" w:cs="Times New Roman"/>
          <w:sz w:val="24"/>
          <w:szCs w:val="24"/>
          <w:lang w:val="ro-RO"/>
        </w:rPr>
        <w:t>ilor care poart</w:t>
      </w:r>
      <w:r w:rsidR="0054623F">
        <w:rPr>
          <w:rFonts w:ascii="Times New Roman" w:hAnsi="Times New Roman" w:cs="Times New Roman"/>
          <w:sz w:val="24"/>
          <w:szCs w:val="24"/>
          <w:lang w:val="ro-RO"/>
        </w:rPr>
        <w:t>ă</w:t>
      </w:r>
      <w:r w:rsidR="00426F30" w:rsidRPr="00815699">
        <w:rPr>
          <w:rFonts w:ascii="Times New Roman" w:hAnsi="Times New Roman" w:cs="Times New Roman"/>
          <w:sz w:val="24"/>
          <w:szCs w:val="24"/>
          <w:lang w:val="ro-RO"/>
        </w:rPr>
        <w:t xml:space="preserve"> asupra </w:t>
      </w:r>
      <w:r w:rsidR="0054623F">
        <w:rPr>
          <w:rFonts w:ascii="Times New Roman" w:hAnsi="Times New Roman" w:cs="Times New Roman"/>
          <w:sz w:val="24"/>
          <w:szCs w:val="24"/>
          <w:lang w:val="ro-RO"/>
        </w:rPr>
        <w:t>î</w:t>
      </w:r>
      <w:r w:rsidR="00426F30" w:rsidRPr="00815699">
        <w:rPr>
          <w:rFonts w:ascii="Times New Roman" w:hAnsi="Times New Roman" w:cs="Times New Roman"/>
          <w:sz w:val="24"/>
          <w:szCs w:val="24"/>
          <w:lang w:val="ro-RO"/>
        </w:rPr>
        <w:t xml:space="preserve">ntregii cariere. </w:t>
      </w:r>
    </w:p>
    <w:p w:rsidR="00BD05E1" w:rsidRPr="00815699" w:rsidRDefault="00BD05E1" w:rsidP="006266A5">
      <w:pPr>
        <w:tabs>
          <w:tab w:val="left" w:pos="1800"/>
        </w:tabs>
        <w:spacing w:after="0" w:line="360" w:lineRule="auto"/>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ab/>
        <w:t>Parte integranta a Uniunii Europene,</w:t>
      </w:r>
      <w:r w:rsidR="00B615A6" w:rsidRPr="00815699">
        <w:rPr>
          <w:rFonts w:ascii="Times New Roman" w:hAnsi="Times New Roman" w:cs="Times New Roman"/>
          <w:sz w:val="24"/>
          <w:szCs w:val="24"/>
          <w:lang w:val="ro-RO"/>
        </w:rPr>
        <w:t xml:space="preserve"> </w:t>
      </w:r>
      <w:r w:rsidR="00C276F9" w:rsidRPr="00815699">
        <w:rPr>
          <w:rFonts w:ascii="Times New Roman" w:hAnsi="Times New Roman" w:cs="Times New Roman"/>
          <w:sz w:val="24"/>
          <w:szCs w:val="24"/>
          <w:lang w:val="ro-RO"/>
        </w:rPr>
        <w:t>Rom</w:t>
      </w:r>
      <w:r w:rsidR="0054623F">
        <w:rPr>
          <w:rFonts w:ascii="Times New Roman" w:hAnsi="Times New Roman" w:cs="Times New Roman"/>
          <w:sz w:val="24"/>
          <w:szCs w:val="24"/>
          <w:lang w:val="ro-RO"/>
        </w:rPr>
        <w:t>â</w:t>
      </w:r>
      <w:r w:rsidR="00C276F9" w:rsidRPr="00815699">
        <w:rPr>
          <w:rFonts w:ascii="Times New Roman" w:hAnsi="Times New Roman" w:cs="Times New Roman"/>
          <w:sz w:val="24"/>
          <w:szCs w:val="24"/>
          <w:lang w:val="ro-RO"/>
        </w:rPr>
        <w:t>nia a ră</w:t>
      </w:r>
      <w:r w:rsidRPr="00815699">
        <w:rPr>
          <w:rFonts w:ascii="Times New Roman" w:hAnsi="Times New Roman" w:cs="Times New Roman"/>
          <w:sz w:val="24"/>
          <w:szCs w:val="24"/>
          <w:lang w:val="ro-RO"/>
        </w:rPr>
        <w:t>mas, totu</w:t>
      </w:r>
      <w:r w:rsidR="00C276F9" w:rsidRPr="00815699">
        <w:rPr>
          <w:rFonts w:ascii="Times New Roman" w:hAnsi="Times New Roman" w:cs="Times New Roman"/>
          <w:sz w:val="24"/>
          <w:szCs w:val="24"/>
          <w:lang w:val="ro-RO"/>
        </w:rPr>
        <w:t>ș</w:t>
      </w:r>
      <w:r w:rsidRPr="00815699">
        <w:rPr>
          <w:rFonts w:ascii="Times New Roman" w:hAnsi="Times New Roman" w:cs="Times New Roman"/>
          <w:sz w:val="24"/>
          <w:szCs w:val="24"/>
          <w:lang w:val="ro-RO"/>
        </w:rPr>
        <w:t xml:space="preserve">i, sub </w:t>
      </w:r>
      <w:r w:rsidR="00C276F9" w:rsidRPr="00815699">
        <w:rPr>
          <w:rFonts w:ascii="Times New Roman" w:hAnsi="Times New Roman" w:cs="Times New Roman"/>
          <w:sz w:val="24"/>
          <w:szCs w:val="24"/>
          <w:lang w:val="ro-RO"/>
        </w:rPr>
        <w:t>observarea</w:t>
      </w:r>
      <w:r w:rsidRPr="00815699">
        <w:rPr>
          <w:rFonts w:ascii="Times New Roman" w:hAnsi="Times New Roman" w:cs="Times New Roman"/>
          <w:sz w:val="24"/>
          <w:szCs w:val="24"/>
          <w:lang w:val="ro-RO"/>
        </w:rPr>
        <w:t xml:space="preserve"> Comisi</w:t>
      </w:r>
      <w:r w:rsidR="00473E14" w:rsidRPr="00815699">
        <w:rPr>
          <w:rFonts w:ascii="Times New Roman" w:hAnsi="Times New Roman" w:cs="Times New Roman"/>
          <w:sz w:val="24"/>
          <w:szCs w:val="24"/>
          <w:lang w:val="ro-RO"/>
        </w:rPr>
        <w:t>ei Europene, care a instituit, încă</w:t>
      </w:r>
      <w:r w:rsidRPr="00815699">
        <w:rPr>
          <w:rFonts w:ascii="Times New Roman" w:hAnsi="Times New Roman" w:cs="Times New Roman"/>
          <w:sz w:val="24"/>
          <w:szCs w:val="24"/>
          <w:lang w:val="ro-RO"/>
        </w:rPr>
        <w:t xml:space="preserve"> de la aderare, Mecanismul de Cooperare </w:t>
      </w:r>
      <w:r w:rsidR="0054623F">
        <w:rPr>
          <w:rFonts w:ascii="Times New Roman" w:hAnsi="Times New Roman" w:cs="Times New Roman"/>
          <w:sz w:val="24"/>
          <w:szCs w:val="24"/>
          <w:lang w:val="ro-RO"/>
        </w:rPr>
        <w:t>ș</w:t>
      </w:r>
      <w:r w:rsidRPr="00815699">
        <w:rPr>
          <w:rFonts w:ascii="Times New Roman" w:hAnsi="Times New Roman" w:cs="Times New Roman"/>
          <w:sz w:val="24"/>
          <w:szCs w:val="24"/>
          <w:lang w:val="ro-RO"/>
        </w:rPr>
        <w:t>i Verificare, o lup</w:t>
      </w:r>
      <w:r w:rsidR="00473E14" w:rsidRPr="00815699">
        <w:rPr>
          <w:rFonts w:ascii="Times New Roman" w:hAnsi="Times New Roman" w:cs="Times New Roman"/>
          <w:sz w:val="24"/>
          <w:szCs w:val="24"/>
          <w:lang w:val="ro-RO"/>
        </w:rPr>
        <w:t>ă</w:t>
      </w:r>
      <w:r w:rsidRPr="00815699">
        <w:rPr>
          <w:rFonts w:ascii="Times New Roman" w:hAnsi="Times New Roman" w:cs="Times New Roman"/>
          <w:sz w:val="24"/>
          <w:szCs w:val="24"/>
          <w:lang w:val="ro-RO"/>
        </w:rPr>
        <w:t xml:space="preserve"> care verific</w:t>
      </w:r>
      <w:r w:rsidR="00473E14" w:rsidRPr="00815699">
        <w:rPr>
          <w:rFonts w:ascii="Times New Roman" w:hAnsi="Times New Roman" w:cs="Times New Roman"/>
          <w:sz w:val="24"/>
          <w:szCs w:val="24"/>
          <w:lang w:val="ro-RO"/>
        </w:rPr>
        <w:t>ă, fundamental, modul î</w:t>
      </w:r>
      <w:r w:rsidRPr="00815699">
        <w:rPr>
          <w:rFonts w:ascii="Times New Roman" w:hAnsi="Times New Roman" w:cs="Times New Roman"/>
          <w:sz w:val="24"/>
          <w:szCs w:val="24"/>
          <w:lang w:val="ro-RO"/>
        </w:rPr>
        <w:t>n care statul rom</w:t>
      </w:r>
      <w:r w:rsidR="00473E14" w:rsidRPr="00815699">
        <w:rPr>
          <w:rFonts w:ascii="Times New Roman" w:hAnsi="Times New Roman" w:cs="Times New Roman"/>
          <w:sz w:val="24"/>
          <w:szCs w:val="24"/>
          <w:lang w:val="ro-RO"/>
        </w:rPr>
        <w:t>â</w:t>
      </w:r>
      <w:r w:rsidRPr="00815699">
        <w:rPr>
          <w:rFonts w:ascii="Times New Roman" w:hAnsi="Times New Roman" w:cs="Times New Roman"/>
          <w:sz w:val="24"/>
          <w:szCs w:val="24"/>
          <w:lang w:val="ro-RO"/>
        </w:rPr>
        <w:t>n respect</w:t>
      </w:r>
      <w:r w:rsidR="0054623F">
        <w:rPr>
          <w:rFonts w:ascii="Times New Roman" w:hAnsi="Times New Roman" w:cs="Times New Roman"/>
          <w:sz w:val="24"/>
          <w:szCs w:val="24"/>
          <w:lang w:val="ro-RO"/>
        </w:rPr>
        <w:t>ă</w:t>
      </w:r>
      <w:r w:rsidRPr="00815699">
        <w:rPr>
          <w:rFonts w:ascii="Times New Roman" w:hAnsi="Times New Roman" w:cs="Times New Roman"/>
          <w:sz w:val="24"/>
          <w:szCs w:val="24"/>
          <w:lang w:val="ro-RO"/>
        </w:rPr>
        <w:t xml:space="preserve"> obiectivele asumate prin Tratatul de aderare</w:t>
      </w:r>
      <w:r w:rsidR="00473E14" w:rsidRPr="00815699">
        <w:rPr>
          <w:rFonts w:ascii="Times New Roman" w:hAnsi="Times New Roman" w:cs="Times New Roman"/>
          <w:sz w:val="24"/>
          <w:szCs w:val="24"/>
          <w:lang w:val="ro-RO"/>
        </w:rPr>
        <w:t xml:space="preserve"> la UE, cu deosebire independența</w:t>
      </w:r>
      <w:r w:rsidRPr="00815699">
        <w:rPr>
          <w:rFonts w:ascii="Times New Roman" w:hAnsi="Times New Roman" w:cs="Times New Roman"/>
          <w:sz w:val="24"/>
          <w:szCs w:val="24"/>
          <w:lang w:val="ro-RO"/>
        </w:rPr>
        <w:t xml:space="preserve"> justi</w:t>
      </w:r>
      <w:r w:rsidR="0054623F">
        <w:rPr>
          <w:rFonts w:ascii="Times New Roman" w:hAnsi="Times New Roman" w:cs="Times New Roman"/>
          <w:sz w:val="24"/>
          <w:szCs w:val="24"/>
          <w:lang w:val="ro-RO"/>
        </w:rPr>
        <w:t>ț</w:t>
      </w:r>
      <w:r w:rsidRPr="00815699">
        <w:rPr>
          <w:rFonts w:ascii="Times New Roman" w:hAnsi="Times New Roman" w:cs="Times New Roman"/>
          <w:sz w:val="24"/>
          <w:szCs w:val="24"/>
          <w:lang w:val="ro-RO"/>
        </w:rPr>
        <w:t>iei, lupta anticorup</w:t>
      </w:r>
      <w:r w:rsidR="0054623F">
        <w:rPr>
          <w:rFonts w:ascii="Times New Roman" w:hAnsi="Times New Roman" w:cs="Times New Roman"/>
          <w:sz w:val="24"/>
          <w:szCs w:val="24"/>
          <w:lang w:val="ro-RO"/>
        </w:rPr>
        <w:t>ț</w:t>
      </w:r>
      <w:r w:rsidRPr="00815699">
        <w:rPr>
          <w:rFonts w:ascii="Times New Roman" w:hAnsi="Times New Roman" w:cs="Times New Roman"/>
          <w:sz w:val="24"/>
          <w:szCs w:val="24"/>
          <w:lang w:val="ro-RO"/>
        </w:rPr>
        <w:t xml:space="preserve">ie </w:t>
      </w:r>
      <w:r w:rsidR="0054623F">
        <w:rPr>
          <w:rFonts w:ascii="Times New Roman" w:hAnsi="Times New Roman" w:cs="Times New Roman"/>
          <w:sz w:val="24"/>
          <w:szCs w:val="24"/>
          <w:lang w:val="ro-RO"/>
        </w:rPr>
        <w:t>ș</w:t>
      </w:r>
      <w:r w:rsidRPr="00815699">
        <w:rPr>
          <w:rFonts w:ascii="Times New Roman" w:hAnsi="Times New Roman" w:cs="Times New Roman"/>
          <w:sz w:val="24"/>
          <w:szCs w:val="24"/>
          <w:lang w:val="ro-RO"/>
        </w:rPr>
        <w:t>i m</w:t>
      </w:r>
      <w:r w:rsidR="00473E14" w:rsidRPr="00815699">
        <w:rPr>
          <w:rFonts w:ascii="Times New Roman" w:hAnsi="Times New Roman" w:cs="Times New Roman"/>
          <w:sz w:val="24"/>
          <w:szCs w:val="24"/>
          <w:lang w:val="ro-RO"/>
        </w:rPr>
        <w:t>e</w:t>
      </w:r>
      <w:r w:rsidRPr="00815699">
        <w:rPr>
          <w:rFonts w:ascii="Times New Roman" w:hAnsi="Times New Roman" w:cs="Times New Roman"/>
          <w:sz w:val="24"/>
          <w:szCs w:val="24"/>
          <w:lang w:val="ro-RO"/>
        </w:rPr>
        <w:t>canismele care s</w:t>
      </w:r>
      <w:r w:rsidR="00473E14" w:rsidRPr="00815699">
        <w:rPr>
          <w:rFonts w:ascii="Times New Roman" w:hAnsi="Times New Roman" w:cs="Times New Roman"/>
          <w:sz w:val="24"/>
          <w:szCs w:val="24"/>
          <w:lang w:val="ro-RO"/>
        </w:rPr>
        <w:t>ă</w:t>
      </w:r>
      <w:r w:rsidRPr="00815699">
        <w:rPr>
          <w:rFonts w:ascii="Times New Roman" w:hAnsi="Times New Roman" w:cs="Times New Roman"/>
          <w:sz w:val="24"/>
          <w:szCs w:val="24"/>
          <w:lang w:val="ro-RO"/>
        </w:rPr>
        <w:t xml:space="preserve"> permit</w:t>
      </w:r>
      <w:r w:rsidR="0054623F">
        <w:rPr>
          <w:rFonts w:ascii="Times New Roman" w:hAnsi="Times New Roman" w:cs="Times New Roman"/>
          <w:sz w:val="24"/>
          <w:szCs w:val="24"/>
          <w:lang w:val="ro-RO"/>
        </w:rPr>
        <w:t>ă</w:t>
      </w:r>
      <w:r w:rsidRPr="00815699">
        <w:rPr>
          <w:rFonts w:ascii="Times New Roman" w:hAnsi="Times New Roman" w:cs="Times New Roman"/>
          <w:sz w:val="24"/>
          <w:szCs w:val="24"/>
          <w:lang w:val="ro-RO"/>
        </w:rPr>
        <w:t xml:space="preserve"> controlul reciproc al autorit</w:t>
      </w:r>
      <w:r w:rsidR="0054623F">
        <w:rPr>
          <w:rFonts w:ascii="Times New Roman" w:hAnsi="Times New Roman" w:cs="Times New Roman"/>
          <w:sz w:val="24"/>
          <w:szCs w:val="24"/>
          <w:lang w:val="ro-RO"/>
        </w:rPr>
        <w:t>ăț</w:t>
      </w:r>
      <w:r w:rsidRPr="00815699">
        <w:rPr>
          <w:rFonts w:ascii="Times New Roman" w:hAnsi="Times New Roman" w:cs="Times New Roman"/>
          <w:sz w:val="24"/>
          <w:szCs w:val="24"/>
          <w:lang w:val="ro-RO"/>
        </w:rPr>
        <w:t xml:space="preserve">ilor statului. </w:t>
      </w:r>
    </w:p>
    <w:p w:rsidR="00A70C96" w:rsidRDefault="006266A5" w:rsidP="006266A5">
      <w:pPr>
        <w:tabs>
          <w:tab w:val="left" w:pos="1800"/>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p>
    <w:p w:rsidR="00A70C96" w:rsidRDefault="00A70C96" w:rsidP="006266A5">
      <w:pPr>
        <w:tabs>
          <w:tab w:val="left" w:pos="1800"/>
        </w:tabs>
        <w:spacing w:after="0" w:line="360" w:lineRule="auto"/>
        <w:jc w:val="both"/>
        <w:rPr>
          <w:rFonts w:ascii="Times New Roman" w:hAnsi="Times New Roman" w:cs="Times New Roman"/>
          <w:sz w:val="24"/>
          <w:szCs w:val="24"/>
          <w:lang w:val="ro-RO"/>
        </w:rPr>
      </w:pPr>
    </w:p>
    <w:p w:rsidR="00A70C96" w:rsidRDefault="00A70C96" w:rsidP="006266A5">
      <w:pPr>
        <w:tabs>
          <w:tab w:val="left" w:pos="1800"/>
        </w:tabs>
        <w:spacing w:after="0" w:line="360" w:lineRule="auto"/>
        <w:jc w:val="both"/>
        <w:rPr>
          <w:rFonts w:ascii="Times New Roman" w:hAnsi="Times New Roman" w:cs="Times New Roman"/>
          <w:sz w:val="24"/>
          <w:szCs w:val="24"/>
          <w:lang w:val="ro-RO"/>
        </w:rPr>
      </w:pPr>
    </w:p>
    <w:p w:rsidR="00A54D0F" w:rsidRPr="00815699" w:rsidRDefault="00A70C96" w:rsidP="006266A5">
      <w:pPr>
        <w:tabs>
          <w:tab w:val="left" w:pos="1800"/>
        </w:tabs>
        <w:spacing w:after="0" w:line="360" w:lineRule="auto"/>
        <w:jc w:val="both"/>
        <w:rPr>
          <w:rFonts w:ascii="Times New Roman" w:hAnsi="Times New Roman" w:cs="Times New Roman"/>
          <w:b/>
          <w:sz w:val="24"/>
          <w:szCs w:val="24"/>
          <w:u w:val="single"/>
          <w:lang w:val="ro-RO"/>
        </w:rPr>
      </w:pPr>
      <w:r>
        <w:rPr>
          <w:rFonts w:ascii="Times New Roman" w:hAnsi="Times New Roman" w:cs="Times New Roman"/>
          <w:sz w:val="24"/>
          <w:szCs w:val="24"/>
          <w:lang w:val="ro-RO"/>
        </w:rPr>
        <w:lastRenderedPageBreak/>
        <w:tab/>
      </w:r>
      <w:r w:rsidR="00A54D0F" w:rsidRPr="00815699">
        <w:rPr>
          <w:rFonts w:ascii="Times New Roman" w:hAnsi="Times New Roman" w:cs="Times New Roman"/>
          <w:b/>
          <w:sz w:val="24"/>
          <w:szCs w:val="24"/>
          <w:u w:val="single"/>
          <w:lang w:val="ro-RO"/>
        </w:rPr>
        <w:t>Capitolul I</w:t>
      </w:r>
    </w:p>
    <w:p w:rsidR="00473E14" w:rsidRPr="00815699" w:rsidRDefault="009778A5" w:rsidP="00DA68AB">
      <w:pPr>
        <w:tabs>
          <w:tab w:val="left" w:pos="1800"/>
        </w:tabs>
        <w:spacing w:after="0" w:line="360" w:lineRule="auto"/>
        <w:jc w:val="both"/>
        <w:rPr>
          <w:rFonts w:ascii="Times New Roman" w:hAnsi="Times New Roman" w:cs="Times New Roman"/>
          <w:sz w:val="24"/>
          <w:szCs w:val="24"/>
          <w:lang w:val="ro-RO"/>
        </w:rPr>
      </w:pPr>
      <w:r w:rsidRPr="009778A5">
        <w:rPr>
          <w:rFonts w:ascii="Times New Roman" w:hAnsi="Times New Roman" w:cs="Times New Roman"/>
          <w:b/>
          <w:sz w:val="24"/>
          <w:szCs w:val="24"/>
          <w:lang w:val="ro-RO"/>
        </w:rPr>
        <w:tab/>
      </w:r>
      <w:r w:rsidR="00BD05E1" w:rsidRPr="00815699">
        <w:rPr>
          <w:rFonts w:ascii="Times New Roman" w:hAnsi="Times New Roman" w:cs="Times New Roman"/>
          <w:b/>
          <w:sz w:val="24"/>
          <w:szCs w:val="24"/>
          <w:u w:val="single"/>
          <w:lang w:val="ro-RO"/>
        </w:rPr>
        <w:t xml:space="preserve">Ministerul Public </w:t>
      </w:r>
      <w:r w:rsidR="00A54D0F" w:rsidRPr="00815699">
        <w:rPr>
          <w:rFonts w:ascii="Times New Roman" w:hAnsi="Times New Roman" w:cs="Times New Roman"/>
          <w:b/>
          <w:sz w:val="24"/>
          <w:szCs w:val="24"/>
          <w:u w:val="single"/>
          <w:lang w:val="ro-RO"/>
        </w:rPr>
        <w:t>– între strategii naționale și a</w:t>
      </w:r>
      <w:r w:rsidR="00BD05E1" w:rsidRPr="00815699">
        <w:rPr>
          <w:rFonts w:ascii="Times New Roman" w:hAnsi="Times New Roman" w:cs="Times New Roman"/>
          <w:b/>
          <w:sz w:val="24"/>
          <w:szCs w:val="24"/>
          <w:u w:val="single"/>
          <w:lang w:val="ro-RO"/>
        </w:rPr>
        <w:t>naliza Mecanismului de Cooperare si Verificare</w:t>
      </w:r>
    </w:p>
    <w:p w:rsidR="00D065B1" w:rsidRPr="00815699" w:rsidRDefault="00D065B1" w:rsidP="00D065B1">
      <w:pPr>
        <w:tabs>
          <w:tab w:val="left" w:pos="1665"/>
        </w:tabs>
        <w:spacing w:line="360" w:lineRule="auto"/>
        <w:jc w:val="both"/>
        <w:rPr>
          <w:rFonts w:ascii="Times New Roman" w:hAnsi="Times New Roman" w:cs="Times New Roman"/>
          <w:b/>
          <w:sz w:val="24"/>
          <w:szCs w:val="24"/>
          <w:u w:val="single"/>
          <w:lang w:val="ro-RO"/>
        </w:rPr>
      </w:pPr>
      <w:r w:rsidRPr="00815699">
        <w:rPr>
          <w:rFonts w:ascii="Times New Roman" w:hAnsi="Times New Roman" w:cs="Times New Roman"/>
          <w:sz w:val="24"/>
          <w:szCs w:val="24"/>
          <w:lang w:val="ro-RO"/>
        </w:rPr>
        <w:tab/>
      </w:r>
      <w:r w:rsidRPr="00815699">
        <w:rPr>
          <w:rFonts w:ascii="Times New Roman" w:hAnsi="Times New Roman" w:cs="Times New Roman"/>
          <w:b/>
          <w:sz w:val="24"/>
          <w:szCs w:val="24"/>
          <w:u w:val="single"/>
          <w:lang w:val="ro-RO"/>
        </w:rPr>
        <w:t>A. Strategii na</w:t>
      </w:r>
      <w:r w:rsidR="0054623F">
        <w:rPr>
          <w:rFonts w:ascii="Times New Roman" w:hAnsi="Times New Roman" w:cs="Times New Roman"/>
          <w:b/>
          <w:sz w:val="24"/>
          <w:szCs w:val="24"/>
          <w:u w:val="single"/>
          <w:lang w:val="ro-RO"/>
        </w:rPr>
        <w:t>ț</w:t>
      </w:r>
      <w:r w:rsidRPr="00815699">
        <w:rPr>
          <w:rFonts w:ascii="Times New Roman" w:hAnsi="Times New Roman" w:cs="Times New Roman"/>
          <w:b/>
          <w:sz w:val="24"/>
          <w:szCs w:val="24"/>
          <w:u w:val="single"/>
          <w:lang w:val="ro-RO"/>
        </w:rPr>
        <w:t>ionale</w:t>
      </w:r>
      <w:r w:rsidR="00A54D0F" w:rsidRPr="00815699">
        <w:rPr>
          <w:rFonts w:ascii="Times New Roman" w:hAnsi="Times New Roman" w:cs="Times New Roman"/>
          <w:b/>
          <w:sz w:val="24"/>
          <w:szCs w:val="24"/>
          <w:u w:val="single"/>
          <w:lang w:val="ro-RO"/>
        </w:rPr>
        <w:t xml:space="preserve"> de reformă </w:t>
      </w:r>
      <w:r w:rsidRPr="00815699">
        <w:rPr>
          <w:rFonts w:ascii="Times New Roman" w:hAnsi="Times New Roman" w:cs="Times New Roman"/>
          <w:b/>
          <w:sz w:val="24"/>
          <w:szCs w:val="24"/>
          <w:u w:val="single"/>
          <w:lang w:val="ro-RO"/>
        </w:rPr>
        <w:t>anterioare instituirii MCV</w:t>
      </w:r>
    </w:p>
    <w:p w:rsidR="00613C38" w:rsidRPr="00815699" w:rsidRDefault="00D065B1" w:rsidP="006266A5">
      <w:pPr>
        <w:tabs>
          <w:tab w:val="left" w:pos="1665"/>
        </w:tabs>
        <w:spacing w:after="0" w:line="360" w:lineRule="auto"/>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ab/>
      </w:r>
      <w:r w:rsidR="00613C38" w:rsidRPr="00815699">
        <w:rPr>
          <w:rFonts w:ascii="Times New Roman" w:hAnsi="Times New Roman" w:cs="Times New Roman"/>
          <w:sz w:val="24"/>
          <w:szCs w:val="24"/>
          <w:lang w:val="ro-RO"/>
        </w:rPr>
        <w:t xml:space="preserve">România a </w:t>
      </w:r>
      <w:r w:rsidR="00243218" w:rsidRPr="00815699">
        <w:rPr>
          <w:rFonts w:ascii="Times New Roman" w:hAnsi="Times New Roman" w:cs="Times New Roman"/>
          <w:sz w:val="24"/>
          <w:szCs w:val="24"/>
          <w:lang w:val="ro-RO"/>
        </w:rPr>
        <w:t>re</w:t>
      </w:r>
      <w:r w:rsidR="00613C38" w:rsidRPr="00815699">
        <w:rPr>
          <w:rFonts w:ascii="Times New Roman" w:hAnsi="Times New Roman" w:cs="Times New Roman"/>
          <w:sz w:val="24"/>
          <w:szCs w:val="24"/>
          <w:lang w:val="ro-RO"/>
        </w:rPr>
        <w:t xml:space="preserve">clamat apartenența sa europeană încă din zorii anilor </w:t>
      </w:r>
      <w:r w:rsidR="00613C38" w:rsidRPr="00815699">
        <w:rPr>
          <w:rFonts w:ascii="Times New Roman" w:hAnsi="Times New Roman" w:cs="Times New Roman"/>
          <w:sz w:val="24"/>
          <w:szCs w:val="24"/>
        </w:rPr>
        <w:t>’</w:t>
      </w:r>
      <w:r w:rsidR="00613C38" w:rsidRPr="00815699">
        <w:rPr>
          <w:rFonts w:ascii="Times New Roman" w:hAnsi="Times New Roman" w:cs="Times New Roman"/>
          <w:sz w:val="24"/>
          <w:szCs w:val="24"/>
          <w:lang w:val="ro-RO"/>
        </w:rPr>
        <w:t>90, când și-a început parcursul dificil de aderare la Uniunea Europeana și la NATO. Cu toate acestea, prima strategie coerent</w:t>
      </w:r>
      <w:r w:rsidR="0054623F">
        <w:rPr>
          <w:rFonts w:ascii="Times New Roman" w:hAnsi="Times New Roman" w:cs="Times New Roman"/>
          <w:sz w:val="24"/>
          <w:szCs w:val="24"/>
          <w:lang w:val="ro-RO"/>
        </w:rPr>
        <w:t>ă</w:t>
      </w:r>
      <w:r w:rsidR="00613C38" w:rsidRPr="00815699">
        <w:rPr>
          <w:rFonts w:ascii="Times New Roman" w:hAnsi="Times New Roman" w:cs="Times New Roman"/>
          <w:sz w:val="24"/>
          <w:szCs w:val="24"/>
          <w:lang w:val="ro-RO"/>
        </w:rPr>
        <w:t xml:space="preserve"> aprobată de Guvernul României a apărut în anul 2003 - Hotărârea nr. 1052/2003 privind aprobarea Strategiei de reformă a Sistemului judiciar, al cărei scop declarat era consolidarea independen</w:t>
      </w:r>
      <w:r w:rsidR="0054623F">
        <w:rPr>
          <w:rFonts w:ascii="Times New Roman" w:hAnsi="Times New Roman" w:cs="Times New Roman"/>
          <w:sz w:val="24"/>
          <w:szCs w:val="24"/>
          <w:lang w:val="ro-RO"/>
        </w:rPr>
        <w:t>ț</w:t>
      </w:r>
      <w:r w:rsidR="00613C38" w:rsidRPr="00815699">
        <w:rPr>
          <w:rFonts w:ascii="Times New Roman" w:hAnsi="Times New Roman" w:cs="Times New Roman"/>
          <w:sz w:val="24"/>
          <w:szCs w:val="24"/>
          <w:lang w:val="ro-RO"/>
        </w:rPr>
        <w:t>ei justi</w:t>
      </w:r>
      <w:r w:rsidR="0054623F">
        <w:rPr>
          <w:rFonts w:ascii="Times New Roman" w:hAnsi="Times New Roman" w:cs="Times New Roman"/>
          <w:sz w:val="24"/>
          <w:szCs w:val="24"/>
          <w:lang w:val="ro-RO"/>
        </w:rPr>
        <w:t>ț</w:t>
      </w:r>
      <w:r w:rsidR="00613C38" w:rsidRPr="00815699">
        <w:rPr>
          <w:rFonts w:ascii="Times New Roman" w:hAnsi="Times New Roman" w:cs="Times New Roman"/>
          <w:sz w:val="24"/>
          <w:szCs w:val="24"/>
          <w:lang w:val="ro-RO"/>
        </w:rPr>
        <w:t xml:space="preserve">iei </w:t>
      </w:r>
      <w:r w:rsidR="0054623F">
        <w:rPr>
          <w:rFonts w:ascii="Times New Roman" w:hAnsi="Times New Roman" w:cs="Times New Roman"/>
          <w:sz w:val="24"/>
          <w:szCs w:val="24"/>
          <w:lang w:val="ro-RO"/>
        </w:rPr>
        <w:t>ș</w:t>
      </w:r>
      <w:r w:rsidR="00613C38" w:rsidRPr="00815699">
        <w:rPr>
          <w:rFonts w:ascii="Times New Roman" w:hAnsi="Times New Roman" w:cs="Times New Roman"/>
          <w:sz w:val="24"/>
          <w:szCs w:val="24"/>
          <w:lang w:val="ro-RO"/>
        </w:rPr>
        <w:t>i a statutului magistratului, sporirea eficienţei actului de justiţie și compatibilizarea sistemului judiciar românesc cu cele ale statelor membre ale Uniunii Europene. Pachetul de legi pentru reformarea justiției („Legile justiției”)</w:t>
      </w:r>
      <w:r w:rsidR="0054623F">
        <w:rPr>
          <w:rFonts w:ascii="Times New Roman" w:hAnsi="Times New Roman" w:cs="Times New Roman"/>
          <w:sz w:val="24"/>
          <w:szCs w:val="24"/>
          <w:lang w:val="ro-RO"/>
        </w:rPr>
        <w:t xml:space="preserve"> – </w:t>
      </w:r>
      <w:r w:rsidR="00613C38" w:rsidRPr="00815699">
        <w:rPr>
          <w:rFonts w:ascii="Times New Roman" w:hAnsi="Times New Roman" w:cs="Times New Roman"/>
          <w:sz w:val="24"/>
          <w:szCs w:val="24"/>
          <w:lang w:val="ro-RO"/>
        </w:rPr>
        <w:t>Legea nr. 303/2004 privind statutul judecătorilor şi procurorilor, Legea nr. 304/2004 privind organizarea judiciară și Legea nr. 317/2004 privind organizarea Consiliul Superior al Magistraturii, au constituit primii pași legislativi elaborați în urma unei strategii pentru reformarea sistemului de justiție.</w:t>
      </w:r>
    </w:p>
    <w:p w:rsidR="00613C38" w:rsidRPr="00815699" w:rsidRDefault="00613C38" w:rsidP="006266A5">
      <w:pPr>
        <w:tabs>
          <w:tab w:val="left" w:pos="1665"/>
        </w:tabs>
        <w:spacing w:after="0" w:line="360" w:lineRule="auto"/>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ab/>
        <w:t xml:space="preserve">Ulterior, prin Hotărârea nr. 232 din 30 martie 2005, </w:t>
      </w:r>
      <w:r w:rsidR="005937FF" w:rsidRPr="00815699">
        <w:rPr>
          <w:rFonts w:ascii="Times New Roman" w:hAnsi="Times New Roman" w:cs="Times New Roman"/>
          <w:sz w:val="24"/>
          <w:szCs w:val="24"/>
          <w:lang w:val="ro-RO"/>
        </w:rPr>
        <w:t xml:space="preserve">executivul </w:t>
      </w:r>
      <w:r w:rsidRPr="00815699">
        <w:rPr>
          <w:rFonts w:ascii="Times New Roman" w:hAnsi="Times New Roman" w:cs="Times New Roman"/>
          <w:sz w:val="24"/>
          <w:szCs w:val="24"/>
          <w:lang w:val="ro-RO"/>
        </w:rPr>
        <w:t xml:space="preserve">a adoptat „Strategia de reformă a sistemului judiciar pe perioada 2005-2007 și Planul de acțiune pentru implementarea Strategiei de reformă a sistemului judiciar pe perioada 2005-2007”. </w:t>
      </w:r>
      <w:r w:rsidR="005937FF" w:rsidRPr="00815699">
        <w:rPr>
          <w:rFonts w:ascii="Times New Roman" w:hAnsi="Times New Roman" w:cs="Times New Roman"/>
          <w:sz w:val="24"/>
          <w:szCs w:val="24"/>
          <w:lang w:val="ro-RO"/>
        </w:rPr>
        <w:t xml:space="preserve">Pentru prima dată, România se angaja, punctual, printr-un plan pe termen scurt, să realizeze un </w:t>
      </w:r>
      <w:r w:rsidRPr="00815699">
        <w:rPr>
          <w:rFonts w:ascii="Times New Roman" w:hAnsi="Times New Roman" w:cs="Times New Roman"/>
          <w:sz w:val="24"/>
          <w:szCs w:val="24"/>
          <w:lang w:val="ro-RO"/>
        </w:rPr>
        <w:t xml:space="preserve">sistem judiciar independent, </w:t>
      </w:r>
      <w:r w:rsidR="005937FF" w:rsidRPr="00815699">
        <w:rPr>
          <w:rFonts w:ascii="Times New Roman" w:hAnsi="Times New Roman" w:cs="Times New Roman"/>
          <w:sz w:val="24"/>
          <w:szCs w:val="24"/>
          <w:lang w:val="ro-RO"/>
        </w:rPr>
        <w:t xml:space="preserve">imparţial, credibil şi eficient, să aplice principiile europene deja consacrate, cum ar fi </w:t>
      </w:r>
      <w:r w:rsidRPr="00815699">
        <w:rPr>
          <w:rFonts w:ascii="Times New Roman" w:hAnsi="Times New Roman" w:cs="Times New Roman"/>
          <w:sz w:val="24"/>
          <w:szCs w:val="24"/>
          <w:lang w:val="ro-RO"/>
        </w:rPr>
        <w:t>s</w:t>
      </w:r>
      <w:r w:rsidR="005937FF" w:rsidRPr="00815699">
        <w:rPr>
          <w:rFonts w:ascii="Times New Roman" w:hAnsi="Times New Roman" w:cs="Times New Roman"/>
          <w:sz w:val="24"/>
          <w:szCs w:val="24"/>
          <w:lang w:val="ro-RO"/>
        </w:rPr>
        <w:t>uprema</w:t>
      </w:r>
      <w:r w:rsidR="0054623F">
        <w:rPr>
          <w:rFonts w:ascii="Times New Roman" w:hAnsi="Times New Roman" w:cs="Times New Roman"/>
          <w:sz w:val="24"/>
          <w:szCs w:val="24"/>
          <w:lang w:val="ro-RO"/>
        </w:rPr>
        <w:t>ț</w:t>
      </w:r>
      <w:r w:rsidR="005937FF" w:rsidRPr="00815699">
        <w:rPr>
          <w:rFonts w:ascii="Times New Roman" w:hAnsi="Times New Roman" w:cs="Times New Roman"/>
          <w:sz w:val="24"/>
          <w:szCs w:val="24"/>
          <w:lang w:val="ro-RO"/>
        </w:rPr>
        <w:t>ia legii şi a</w:t>
      </w:r>
      <w:r w:rsidRPr="00815699">
        <w:rPr>
          <w:rFonts w:ascii="Times New Roman" w:hAnsi="Times New Roman" w:cs="Times New Roman"/>
          <w:sz w:val="24"/>
          <w:szCs w:val="24"/>
          <w:lang w:val="ro-RO"/>
        </w:rPr>
        <w:t xml:space="preserve"> statului de drept, </w:t>
      </w:r>
      <w:r w:rsidR="005937FF" w:rsidRPr="00815699">
        <w:rPr>
          <w:rFonts w:ascii="Times New Roman" w:hAnsi="Times New Roman" w:cs="Times New Roman"/>
          <w:sz w:val="24"/>
          <w:szCs w:val="24"/>
          <w:lang w:val="ro-RO"/>
        </w:rPr>
        <w:t>a</w:t>
      </w:r>
      <w:r w:rsidRPr="00815699">
        <w:rPr>
          <w:rFonts w:ascii="Times New Roman" w:hAnsi="Times New Roman" w:cs="Times New Roman"/>
          <w:sz w:val="24"/>
          <w:szCs w:val="24"/>
          <w:lang w:val="ro-RO"/>
        </w:rPr>
        <w:t xml:space="preserve"> principiului separa</w:t>
      </w:r>
      <w:r w:rsidR="0054623F">
        <w:rPr>
          <w:rFonts w:ascii="Times New Roman" w:hAnsi="Times New Roman" w:cs="Times New Roman"/>
          <w:sz w:val="24"/>
          <w:szCs w:val="24"/>
          <w:lang w:val="ro-RO"/>
        </w:rPr>
        <w:t>ț</w:t>
      </w:r>
      <w:r w:rsidRPr="00815699">
        <w:rPr>
          <w:rFonts w:ascii="Times New Roman" w:hAnsi="Times New Roman" w:cs="Times New Roman"/>
          <w:sz w:val="24"/>
          <w:szCs w:val="24"/>
          <w:lang w:val="ro-RO"/>
        </w:rPr>
        <w:t>iei puterilor în stat</w:t>
      </w:r>
      <w:r w:rsidR="005937FF" w:rsidRPr="00815699">
        <w:rPr>
          <w:rFonts w:ascii="Times New Roman" w:hAnsi="Times New Roman" w:cs="Times New Roman"/>
          <w:sz w:val="24"/>
          <w:szCs w:val="24"/>
          <w:lang w:val="ro-RO"/>
        </w:rPr>
        <w:t xml:space="preserve"> și a cont</w:t>
      </w:r>
      <w:r w:rsidR="0054623F">
        <w:rPr>
          <w:rFonts w:ascii="Times New Roman" w:hAnsi="Times New Roman" w:cs="Times New Roman"/>
          <w:sz w:val="24"/>
          <w:szCs w:val="24"/>
          <w:lang w:val="ro-RO"/>
        </w:rPr>
        <w:t>r</w:t>
      </w:r>
      <w:r w:rsidR="005937FF" w:rsidRPr="00815699">
        <w:rPr>
          <w:rFonts w:ascii="Times New Roman" w:hAnsi="Times New Roman" w:cs="Times New Roman"/>
          <w:sz w:val="24"/>
          <w:szCs w:val="24"/>
          <w:lang w:val="ro-RO"/>
        </w:rPr>
        <w:t>olului reciproc al acestora.</w:t>
      </w:r>
    </w:p>
    <w:p w:rsidR="005937FF" w:rsidRPr="00815699" w:rsidRDefault="005937FF" w:rsidP="006266A5">
      <w:pPr>
        <w:tabs>
          <w:tab w:val="left" w:pos="1665"/>
        </w:tabs>
        <w:spacing w:after="0" w:line="360" w:lineRule="auto"/>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ab/>
        <w:t xml:space="preserve">Consecutiv, bazat pe aceleași idei, la data de 30 martie 2005 a fost aprobată de </w:t>
      </w:r>
      <w:r w:rsidR="0054623F">
        <w:rPr>
          <w:rFonts w:ascii="Times New Roman" w:hAnsi="Times New Roman" w:cs="Times New Roman"/>
          <w:sz w:val="24"/>
          <w:szCs w:val="24"/>
          <w:lang w:val="ro-RO"/>
        </w:rPr>
        <w:t>c</w:t>
      </w:r>
      <w:r w:rsidR="008A1228">
        <w:rPr>
          <w:rFonts w:ascii="Times New Roman" w:hAnsi="Times New Roman" w:cs="Times New Roman"/>
          <w:sz w:val="24"/>
          <w:szCs w:val="24"/>
          <w:lang w:val="ro-RO"/>
        </w:rPr>
        <w:t xml:space="preserve">ătre </w:t>
      </w:r>
      <w:r w:rsidRPr="00815699">
        <w:rPr>
          <w:rFonts w:ascii="Times New Roman" w:hAnsi="Times New Roman" w:cs="Times New Roman"/>
          <w:sz w:val="24"/>
          <w:szCs w:val="24"/>
          <w:lang w:val="ro-RO"/>
        </w:rPr>
        <w:t xml:space="preserve">Executiv </w:t>
      </w:r>
      <w:r w:rsidR="0054623F">
        <w:rPr>
          <w:rFonts w:ascii="Times New Roman" w:hAnsi="Times New Roman" w:cs="Times New Roman"/>
          <w:sz w:val="24"/>
          <w:szCs w:val="24"/>
        </w:rPr>
        <w:t>“</w:t>
      </w:r>
      <w:r w:rsidRPr="00815699">
        <w:rPr>
          <w:rFonts w:ascii="Times New Roman" w:hAnsi="Times New Roman" w:cs="Times New Roman"/>
          <w:sz w:val="24"/>
          <w:szCs w:val="24"/>
          <w:lang w:val="ro-RO"/>
        </w:rPr>
        <w:t>Strategia na</w:t>
      </w:r>
      <w:r w:rsidR="008A1228">
        <w:rPr>
          <w:rFonts w:ascii="Times New Roman" w:hAnsi="Times New Roman" w:cs="Times New Roman"/>
          <w:sz w:val="24"/>
          <w:szCs w:val="24"/>
          <w:lang w:val="ro-RO"/>
        </w:rPr>
        <w:t>ț</w:t>
      </w:r>
      <w:r w:rsidRPr="00815699">
        <w:rPr>
          <w:rFonts w:ascii="Times New Roman" w:hAnsi="Times New Roman" w:cs="Times New Roman"/>
          <w:sz w:val="24"/>
          <w:szCs w:val="24"/>
          <w:lang w:val="ro-RO"/>
        </w:rPr>
        <w:t>ională anticorup</w:t>
      </w:r>
      <w:r w:rsidR="008A1228">
        <w:rPr>
          <w:rFonts w:ascii="Times New Roman" w:hAnsi="Times New Roman" w:cs="Times New Roman"/>
          <w:sz w:val="24"/>
          <w:szCs w:val="24"/>
          <w:lang w:val="ro-RO"/>
        </w:rPr>
        <w:t>ț</w:t>
      </w:r>
      <w:r w:rsidRPr="00815699">
        <w:rPr>
          <w:rFonts w:ascii="Times New Roman" w:hAnsi="Times New Roman" w:cs="Times New Roman"/>
          <w:sz w:val="24"/>
          <w:szCs w:val="24"/>
          <w:lang w:val="ro-RO"/>
        </w:rPr>
        <w:t>ie</w:t>
      </w:r>
      <w:r w:rsidR="0054623F">
        <w:rPr>
          <w:rFonts w:ascii="Times New Roman" w:hAnsi="Times New Roman" w:cs="Times New Roman"/>
          <w:sz w:val="24"/>
          <w:szCs w:val="24"/>
          <w:lang w:val="ro-RO"/>
        </w:rPr>
        <w:t>”</w:t>
      </w:r>
      <w:r w:rsidRPr="00815699">
        <w:rPr>
          <w:rFonts w:ascii="Times New Roman" w:hAnsi="Times New Roman" w:cs="Times New Roman"/>
          <w:sz w:val="24"/>
          <w:szCs w:val="24"/>
          <w:lang w:val="ro-RO"/>
        </w:rPr>
        <w:t xml:space="preserve"> </w:t>
      </w:r>
      <w:r w:rsidR="008A1228">
        <w:rPr>
          <w:rFonts w:ascii="Times New Roman" w:hAnsi="Times New Roman" w:cs="Times New Roman"/>
          <w:sz w:val="24"/>
          <w:szCs w:val="24"/>
          <w:lang w:val="ro-RO"/>
        </w:rPr>
        <w:t>ș</w:t>
      </w:r>
      <w:r w:rsidRPr="00815699">
        <w:rPr>
          <w:rFonts w:ascii="Times New Roman" w:hAnsi="Times New Roman" w:cs="Times New Roman"/>
          <w:sz w:val="24"/>
          <w:szCs w:val="24"/>
          <w:lang w:val="ro-RO"/>
        </w:rPr>
        <w:t xml:space="preserve">i, simultan, </w:t>
      </w:r>
      <w:r w:rsidR="0054623F">
        <w:rPr>
          <w:rFonts w:ascii="Times New Roman" w:hAnsi="Times New Roman" w:cs="Times New Roman"/>
          <w:sz w:val="24"/>
          <w:szCs w:val="24"/>
          <w:lang w:val="ro-RO"/>
        </w:rPr>
        <w:t>„</w:t>
      </w:r>
      <w:r w:rsidRPr="00815699">
        <w:rPr>
          <w:rFonts w:ascii="Times New Roman" w:hAnsi="Times New Roman" w:cs="Times New Roman"/>
          <w:sz w:val="24"/>
          <w:szCs w:val="24"/>
          <w:lang w:val="ro-RO"/>
        </w:rPr>
        <w:t>Planul de acţiune pentru implementarea Strategiei naţionale anticorupţie pe perioada 2005 – 2007</w:t>
      </w:r>
      <w:r w:rsidR="008A1228">
        <w:rPr>
          <w:rFonts w:ascii="Times New Roman" w:hAnsi="Times New Roman" w:cs="Times New Roman"/>
          <w:sz w:val="24"/>
          <w:szCs w:val="24"/>
          <w:lang w:val="ro-RO"/>
        </w:rPr>
        <w:t>”</w:t>
      </w:r>
      <w:r w:rsidRPr="00815699">
        <w:rPr>
          <w:rFonts w:ascii="Times New Roman" w:hAnsi="Times New Roman" w:cs="Times New Roman"/>
          <w:sz w:val="24"/>
          <w:szCs w:val="24"/>
          <w:lang w:val="ro-RO"/>
        </w:rPr>
        <w:t>.</w:t>
      </w:r>
    </w:p>
    <w:p w:rsidR="005937FF" w:rsidRPr="00815699" w:rsidRDefault="005937FF" w:rsidP="006266A5">
      <w:pPr>
        <w:tabs>
          <w:tab w:val="left" w:pos="1665"/>
        </w:tabs>
        <w:spacing w:after="0" w:line="360" w:lineRule="auto"/>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ab/>
        <w:t xml:space="preserve"> Aderarea României la Uniunea Europeană la 1 ianuarie 2007 a determinat multiple schimbări și la nivel instituţional, inclusiv în sistemul de justiţie, dat fiind faptul că aderarea nu reprezintă decât primul pas din amplul proces de integrare a României în Uniunea Europeană. În interiorul intervalului</w:t>
      </w:r>
      <w:r w:rsidR="002D30C2" w:rsidRPr="00815699">
        <w:rPr>
          <w:rFonts w:ascii="Times New Roman" w:hAnsi="Times New Roman" w:cs="Times New Roman"/>
          <w:sz w:val="24"/>
          <w:szCs w:val="24"/>
          <w:lang w:val="ro-RO"/>
        </w:rPr>
        <w:t xml:space="preserve"> menționat, </w:t>
      </w:r>
      <w:r w:rsidRPr="00815699">
        <w:rPr>
          <w:rFonts w:ascii="Times New Roman" w:hAnsi="Times New Roman" w:cs="Times New Roman"/>
          <w:sz w:val="24"/>
          <w:szCs w:val="24"/>
          <w:lang w:val="ro-RO"/>
        </w:rPr>
        <w:t>Com</w:t>
      </w:r>
      <w:r w:rsidR="002D30C2" w:rsidRPr="00815699">
        <w:rPr>
          <w:rFonts w:ascii="Times New Roman" w:hAnsi="Times New Roman" w:cs="Times New Roman"/>
          <w:sz w:val="24"/>
          <w:szCs w:val="24"/>
          <w:lang w:val="ro-RO"/>
        </w:rPr>
        <w:t>isia Europeană a identificat (Ra</w:t>
      </w:r>
      <w:r w:rsidRPr="00815699">
        <w:rPr>
          <w:rFonts w:ascii="Times New Roman" w:hAnsi="Times New Roman" w:cs="Times New Roman"/>
          <w:sz w:val="24"/>
          <w:szCs w:val="24"/>
          <w:lang w:val="ro-RO"/>
        </w:rPr>
        <w:t>portul de monitorizare din septembrie 2006</w:t>
      </w:r>
      <w:r w:rsidR="002D30C2" w:rsidRPr="00815699">
        <w:rPr>
          <w:rFonts w:ascii="Times New Roman" w:hAnsi="Times New Roman" w:cs="Times New Roman"/>
          <w:sz w:val="24"/>
          <w:szCs w:val="24"/>
          <w:lang w:val="ro-RO"/>
        </w:rPr>
        <w:t>)</w:t>
      </w:r>
      <w:r w:rsidRPr="00815699">
        <w:rPr>
          <w:rFonts w:ascii="Times New Roman" w:hAnsi="Times New Roman" w:cs="Times New Roman"/>
          <w:sz w:val="24"/>
          <w:szCs w:val="24"/>
          <w:lang w:val="ro-RO"/>
        </w:rPr>
        <w:t xml:space="preserve"> aspecte nerezolvate, </w:t>
      </w:r>
      <w:r w:rsidR="002D30C2" w:rsidRPr="00815699">
        <w:rPr>
          <w:rFonts w:ascii="Times New Roman" w:hAnsi="Times New Roman" w:cs="Times New Roman"/>
          <w:sz w:val="24"/>
          <w:szCs w:val="24"/>
          <w:lang w:val="ro-RO"/>
        </w:rPr>
        <w:t>mai ales</w:t>
      </w:r>
      <w:r w:rsidRPr="00815699">
        <w:rPr>
          <w:rFonts w:ascii="Times New Roman" w:hAnsi="Times New Roman" w:cs="Times New Roman"/>
          <w:sz w:val="24"/>
          <w:szCs w:val="24"/>
          <w:lang w:val="ro-RO"/>
        </w:rPr>
        <w:t xml:space="preserve"> </w:t>
      </w:r>
      <w:r w:rsidR="002D30C2" w:rsidRPr="00815699">
        <w:rPr>
          <w:rFonts w:ascii="Times New Roman" w:hAnsi="Times New Roman" w:cs="Times New Roman"/>
          <w:sz w:val="24"/>
          <w:szCs w:val="24"/>
          <w:lang w:val="ro-RO"/>
        </w:rPr>
        <w:t>referitor la</w:t>
      </w:r>
      <w:r w:rsidRPr="00815699">
        <w:rPr>
          <w:rFonts w:ascii="Times New Roman" w:hAnsi="Times New Roman" w:cs="Times New Roman"/>
          <w:sz w:val="24"/>
          <w:szCs w:val="24"/>
          <w:lang w:val="ro-RO"/>
        </w:rPr>
        <w:t xml:space="preserve"> responsabilizarea și eficientizarea sistemului judiciar. Acest raport a constituit baza stabilirii unui mecanism de cooperare și verificare a evoluțiilor realizate de România în atingerea obiectivelor de referință specifice în domeniul reformei sistemului judiciar și al luptei împotriva corupției.</w:t>
      </w:r>
    </w:p>
    <w:p w:rsidR="005937FF" w:rsidRPr="00815699" w:rsidRDefault="002D30C2" w:rsidP="00D065B1">
      <w:pPr>
        <w:tabs>
          <w:tab w:val="left" w:pos="1665"/>
        </w:tabs>
        <w:spacing w:line="360" w:lineRule="auto"/>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ab/>
        <w:t>Chiar dacă România făcuse evidente progrese în vederea aderării la Uniunea Europeană, p</w:t>
      </w:r>
      <w:r w:rsidR="005937FF" w:rsidRPr="00815699">
        <w:rPr>
          <w:rFonts w:ascii="Times New Roman" w:hAnsi="Times New Roman" w:cs="Times New Roman"/>
          <w:sz w:val="24"/>
          <w:szCs w:val="24"/>
          <w:lang w:val="ro-RO"/>
        </w:rPr>
        <w:t xml:space="preserve">rin Decizia Comisiei Europene nr. 2006/928/CE din 13 decembrie 2006 </w:t>
      </w:r>
      <w:r w:rsidRPr="00815699">
        <w:rPr>
          <w:rFonts w:ascii="Times New Roman" w:hAnsi="Times New Roman" w:cs="Times New Roman"/>
          <w:sz w:val="24"/>
          <w:szCs w:val="24"/>
          <w:lang w:val="ro-RO"/>
        </w:rPr>
        <w:t xml:space="preserve">a fost </w:t>
      </w:r>
      <w:r w:rsidRPr="00815699">
        <w:rPr>
          <w:rFonts w:ascii="Times New Roman" w:hAnsi="Times New Roman" w:cs="Times New Roman"/>
          <w:sz w:val="24"/>
          <w:szCs w:val="24"/>
          <w:lang w:val="ro-RO"/>
        </w:rPr>
        <w:lastRenderedPageBreak/>
        <w:t xml:space="preserve">instituit ”Mecanismul </w:t>
      </w:r>
      <w:r w:rsidR="005937FF" w:rsidRPr="00815699">
        <w:rPr>
          <w:rFonts w:ascii="Times New Roman" w:hAnsi="Times New Roman" w:cs="Times New Roman"/>
          <w:sz w:val="24"/>
          <w:szCs w:val="24"/>
          <w:lang w:val="ro-RO"/>
        </w:rPr>
        <w:t>de Cooperare și Verificare a p</w:t>
      </w:r>
      <w:r w:rsidRPr="00815699">
        <w:rPr>
          <w:rFonts w:ascii="Times New Roman" w:hAnsi="Times New Roman" w:cs="Times New Roman"/>
          <w:sz w:val="24"/>
          <w:szCs w:val="24"/>
          <w:lang w:val="ro-RO"/>
        </w:rPr>
        <w:t>rogreselor realizate de România”. Prin Mecanism</w:t>
      </w:r>
      <w:r w:rsidR="005937FF" w:rsidRPr="00815699">
        <w:rPr>
          <w:rFonts w:ascii="Times New Roman" w:hAnsi="Times New Roman" w:cs="Times New Roman"/>
          <w:sz w:val="24"/>
          <w:szCs w:val="24"/>
          <w:lang w:val="ro-RO"/>
        </w:rPr>
        <w:t xml:space="preserve"> au fost stabilite </w:t>
      </w:r>
      <w:r w:rsidRPr="00815699">
        <w:rPr>
          <w:rFonts w:ascii="Times New Roman" w:hAnsi="Times New Roman" w:cs="Times New Roman"/>
          <w:sz w:val="24"/>
          <w:szCs w:val="24"/>
          <w:lang w:val="ro-RO"/>
        </w:rPr>
        <w:t>patru condiționalități</w:t>
      </w:r>
      <w:r w:rsidR="005937FF" w:rsidRPr="00815699">
        <w:rPr>
          <w:rFonts w:ascii="Times New Roman" w:hAnsi="Times New Roman" w:cs="Times New Roman"/>
          <w:sz w:val="24"/>
          <w:szCs w:val="24"/>
          <w:lang w:val="ro-RO"/>
        </w:rPr>
        <w:t xml:space="preserve"> </w:t>
      </w:r>
      <w:r w:rsidRPr="00815699">
        <w:rPr>
          <w:rFonts w:ascii="Times New Roman" w:hAnsi="Times New Roman" w:cs="Times New Roman"/>
          <w:sz w:val="24"/>
          <w:szCs w:val="24"/>
          <w:lang w:val="ro-RO"/>
        </w:rPr>
        <w:t>ce urmau să facă obiectul unei</w:t>
      </w:r>
      <w:r w:rsidR="005937FF" w:rsidRPr="00815699">
        <w:rPr>
          <w:rFonts w:ascii="Times New Roman" w:hAnsi="Times New Roman" w:cs="Times New Roman"/>
          <w:sz w:val="24"/>
          <w:szCs w:val="24"/>
          <w:lang w:val="ro-RO"/>
        </w:rPr>
        <w:t xml:space="preserve"> monitoriz</w:t>
      </w:r>
      <w:r w:rsidRPr="00815699">
        <w:rPr>
          <w:rFonts w:ascii="Times New Roman" w:hAnsi="Times New Roman" w:cs="Times New Roman"/>
          <w:sz w:val="24"/>
          <w:szCs w:val="24"/>
          <w:lang w:val="ro-RO"/>
        </w:rPr>
        <w:t>ări stricte</w:t>
      </w:r>
      <w:r w:rsidR="005937FF" w:rsidRPr="00815699">
        <w:rPr>
          <w:rFonts w:ascii="Times New Roman" w:hAnsi="Times New Roman" w:cs="Times New Roman"/>
          <w:sz w:val="24"/>
          <w:szCs w:val="24"/>
          <w:lang w:val="ro-RO"/>
        </w:rPr>
        <w:t xml:space="preserve"> în perioada post-aderare: </w:t>
      </w:r>
      <w:r w:rsidR="00D065B1" w:rsidRPr="00815699">
        <w:rPr>
          <w:rFonts w:ascii="Times New Roman" w:hAnsi="Times New Roman" w:cs="Times New Roman"/>
          <w:sz w:val="24"/>
          <w:szCs w:val="24"/>
          <w:lang w:val="ro-RO"/>
        </w:rPr>
        <w:t>a) Garantarea unui proces judiciar mai transparent și mai eficient totodată, în special prin consolidarea capacităților și a responsabilizării Consiliului Superior al Magistraturii. Raportarea și evaluarea impactului noilor coduri de procedură civilă și administrativă. b) Înființarea, conform celor prevăzute, a unei agenții pentru integritate cu responsabilități în domeniul verificării patrimoniului, al incompatibilităților și al conflictelor de interese potențiale, precum și cu capacitatea de a adopta decizii obligatorii care să poată duce la aplicarea unor sancțiuni disuasive. c) Continuarea, în baza progreselor realizate deja, a unor cercetări profesioniste și imparțiale cu privire la acuzațiile de corupție la nivel înalt. d) Adoptarea unor măsuri suplimentare de prevenire și combatere a corupției, în special în cadrul administrației locale.</w:t>
      </w:r>
    </w:p>
    <w:p w:rsidR="00D065B1" w:rsidRPr="00815699" w:rsidRDefault="00D065B1" w:rsidP="008A1228">
      <w:pPr>
        <w:tabs>
          <w:tab w:val="left" w:pos="1665"/>
        </w:tabs>
        <w:spacing w:line="360" w:lineRule="auto"/>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ab/>
      </w:r>
      <w:r w:rsidRPr="00815699">
        <w:rPr>
          <w:rFonts w:ascii="Times New Roman" w:hAnsi="Times New Roman" w:cs="Times New Roman"/>
          <w:b/>
          <w:sz w:val="24"/>
          <w:szCs w:val="24"/>
          <w:u w:val="single"/>
          <w:lang w:val="ro-RO"/>
        </w:rPr>
        <w:t>B. Rapoartele MCV</w:t>
      </w:r>
      <w:r w:rsidR="008A1228">
        <w:rPr>
          <w:rFonts w:ascii="Times New Roman" w:hAnsi="Times New Roman" w:cs="Times New Roman"/>
          <w:b/>
          <w:sz w:val="24"/>
          <w:szCs w:val="24"/>
          <w:u w:val="single"/>
          <w:lang w:val="ro-RO"/>
        </w:rPr>
        <w:t xml:space="preserve"> </w:t>
      </w:r>
    </w:p>
    <w:p w:rsidR="008A1228" w:rsidRDefault="00D065B1" w:rsidP="00D065B1">
      <w:pPr>
        <w:spacing w:line="360" w:lineRule="auto"/>
        <w:ind w:firstLine="720"/>
        <w:contextualSpacing/>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 xml:space="preserve">În fiecare an, până cel târziu la </w:t>
      </w:r>
      <w:r w:rsidR="008A1228">
        <w:rPr>
          <w:rFonts w:ascii="Times New Roman" w:hAnsi="Times New Roman" w:cs="Times New Roman"/>
          <w:sz w:val="24"/>
          <w:szCs w:val="24"/>
          <w:lang w:val="ro-RO"/>
        </w:rPr>
        <w:t xml:space="preserve">data de </w:t>
      </w:r>
      <w:r w:rsidRPr="00815699">
        <w:rPr>
          <w:rFonts w:ascii="Times New Roman" w:hAnsi="Times New Roman" w:cs="Times New Roman"/>
          <w:sz w:val="24"/>
          <w:szCs w:val="24"/>
          <w:lang w:val="ro-RO"/>
        </w:rPr>
        <w:t xml:space="preserve">31 martie (primul an fiind </w:t>
      </w:r>
      <w:r w:rsidRPr="006266A5">
        <w:rPr>
          <w:rFonts w:ascii="Times New Roman" w:hAnsi="Times New Roman" w:cs="Times New Roman"/>
          <w:b/>
          <w:sz w:val="24"/>
          <w:szCs w:val="24"/>
          <w:lang w:val="ro-RO"/>
        </w:rPr>
        <w:t>2007</w:t>
      </w:r>
      <w:r w:rsidRPr="00815699">
        <w:rPr>
          <w:rFonts w:ascii="Times New Roman" w:hAnsi="Times New Roman" w:cs="Times New Roman"/>
          <w:sz w:val="24"/>
          <w:szCs w:val="24"/>
          <w:lang w:val="ro-RO"/>
        </w:rPr>
        <w:t>)</w:t>
      </w:r>
      <w:r w:rsidR="00E110C5" w:rsidRPr="00815699">
        <w:rPr>
          <w:rFonts w:ascii="Times New Roman" w:hAnsi="Times New Roman" w:cs="Times New Roman"/>
          <w:sz w:val="24"/>
          <w:szCs w:val="24"/>
          <w:lang w:val="ro-RO"/>
        </w:rPr>
        <w:t>, România prezintă</w:t>
      </w:r>
      <w:r w:rsidRPr="00815699">
        <w:rPr>
          <w:rFonts w:ascii="Times New Roman" w:hAnsi="Times New Roman" w:cs="Times New Roman"/>
          <w:sz w:val="24"/>
          <w:szCs w:val="24"/>
          <w:lang w:val="ro-RO"/>
        </w:rPr>
        <w:t xml:space="preserve"> Comisiei un raport privind progresele realizate în vederea atingerii fiecăruia dintre obiectivele de referință enumerate mai sus.</w:t>
      </w:r>
      <w:r w:rsidR="008A1228">
        <w:rPr>
          <w:rFonts w:ascii="Times New Roman" w:hAnsi="Times New Roman" w:cs="Times New Roman"/>
          <w:sz w:val="24"/>
          <w:szCs w:val="24"/>
          <w:lang w:val="ro-RO"/>
        </w:rPr>
        <w:t xml:space="preserve"> </w:t>
      </w:r>
    </w:p>
    <w:p w:rsidR="00D065B1" w:rsidRPr="00815699" w:rsidRDefault="00D065B1" w:rsidP="00D065B1">
      <w:pPr>
        <w:spacing w:line="360" w:lineRule="auto"/>
        <w:ind w:firstLine="720"/>
        <w:contextualSpacing/>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 xml:space="preserve">Comisia prezintă rapoarte în funcție de evoluția situației și cel puțin o dată la fiecare șase luni (primul fiind în </w:t>
      </w:r>
      <w:r w:rsidRPr="006266A5">
        <w:rPr>
          <w:rFonts w:ascii="Times New Roman" w:hAnsi="Times New Roman" w:cs="Times New Roman"/>
          <w:b/>
          <w:sz w:val="24"/>
          <w:szCs w:val="24"/>
          <w:lang w:val="ro-RO"/>
        </w:rPr>
        <w:t>iunie 2007</w:t>
      </w:r>
      <w:r w:rsidRPr="00815699">
        <w:rPr>
          <w:rFonts w:ascii="Times New Roman" w:hAnsi="Times New Roman" w:cs="Times New Roman"/>
          <w:sz w:val="24"/>
          <w:szCs w:val="24"/>
          <w:lang w:val="ro-RO"/>
        </w:rPr>
        <w:t>) Parlamentului European și Consiliului</w:t>
      </w:r>
      <w:r w:rsidR="008E6A87" w:rsidRPr="00815699">
        <w:rPr>
          <w:rFonts w:ascii="Times New Roman" w:hAnsi="Times New Roman" w:cs="Times New Roman"/>
          <w:sz w:val="24"/>
          <w:szCs w:val="24"/>
          <w:lang w:val="ro-RO"/>
        </w:rPr>
        <w:t xml:space="preserve">, privind </w:t>
      </w:r>
      <w:r w:rsidRPr="00815699">
        <w:rPr>
          <w:rFonts w:ascii="Times New Roman" w:hAnsi="Times New Roman" w:cs="Times New Roman"/>
          <w:sz w:val="24"/>
          <w:szCs w:val="24"/>
          <w:lang w:val="ro-RO"/>
        </w:rPr>
        <w:t xml:space="preserve">propriile comentarii și concluzii </w:t>
      </w:r>
      <w:r w:rsidR="008E6A87" w:rsidRPr="00815699">
        <w:rPr>
          <w:rFonts w:ascii="Times New Roman" w:hAnsi="Times New Roman" w:cs="Times New Roman"/>
          <w:sz w:val="24"/>
          <w:szCs w:val="24"/>
          <w:lang w:val="ro-RO"/>
        </w:rPr>
        <w:t>ce reies din</w:t>
      </w:r>
      <w:r w:rsidRPr="00815699">
        <w:rPr>
          <w:rFonts w:ascii="Times New Roman" w:hAnsi="Times New Roman" w:cs="Times New Roman"/>
          <w:sz w:val="24"/>
          <w:szCs w:val="24"/>
          <w:lang w:val="ro-RO"/>
        </w:rPr>
        <w:t xml:space="preserve"> raportul prezentat de România.</w:t>
      </w:r>
    </w:p>
    <w:p w:rsidR="00D065B1" w:rsidRPr="00815699" w:rsidRDefault="00D065B1" w:rsidP="006266A5">
      <w:pPr>
        <w:spacing w:after="0" w:line="360" w:lineRule="auto"/>
        <w:ind w:firstLine="720"/>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În primii 5 ani</w:t>
      </w:r>
      <w:r w:rsidR="00B40572" w:rsidRPr="00815699">
        <w:rPr>
          <w:rFonts w:ascii="Times New Roman" w:hAnsi="Times New Roman" w:cs="Times New Roman"/>
          <w:sz w:val="24"/>
          <w:szCs w:val="24"/>
          <w:lang w:val="ro-RO"/>
        </w:rPr>
        <w:t xml:space="preserve"> (</w:t>
      </w:r>
      <w:r w:rsidR="00B40572" w:rsidRPr="006266A5">
        <w:rPr>
          <w:rFonts w:ascii="Times New Roman" w:hAnsi="Times New Roman" w:cs="Times New Roman"/>
          <w:b/>
          <w:sz w:val="24"/>
          <w:szCs w:val="24"/>
          <w:lang w:val="ro-RO"/>
        </w:rPr>
        <w:t>2007-2012</w:t>
      </w:r>
      <w:r w:rsidR="00B40572" w:rsidRPr="00815699">
        <w:rPr>
          <w:rFonts w:ascii="Times New Roman" w:hAnsi="Times New Roman" w:cs="Times New Roman"/>
          <w:sz w:val="24"/>
          <w:szCs w:val="24"/>
          <w:lang w:val="ro-RO"/>
        </w:rPr>
        <w:t>)</w:t>
      </w:r>
      <w:r w:rsidRPr="00815699">
        <w:rPr>
          <w:rFonts w:ascii="Times New Roman" w:hAnsi="Times New Roman" w:cs="Times New Roman"/>
          <w:sz w:val="24"/>
          <w:szCs w:val="24"/>
          <w:lang w:val="ro-RO"/>
        </w:rPr>
        <w:t xml:space="preserve">, </w:t>
      </w:r>
      <w:r w:rsidR="00B40572" w:rsidRPr="00815699">
        <w:rPr>
          <w:rFonts w:ascii="Times New Roman" w:hAnsi="Times New Roman" w:cs="Times New Roman"/>
          <w:sz w:val="24"/>
          <w:szCs w:val="24"/>
          <w:lang w:val="ro-RO"/>
        </w:rPr>
        <w:t>rapoartele se refere</w:t>
      </w:r>
      <w:r w:rsidR="008A1228">
        <w:rPr>
          <w:rFonts w:ascii="Times New Roman" w:hAnsi="Times New Roman" w:cs="Times New Roman"/>
          <w:sz w:val="24"/>
          <w:szCs w:val="24"/>
          <w:lang w:val="ro-RO"/>
        </w:rPr>
        <w:t>a</w:t>
      </w:r>
      <w:r w:rsidR="00B40572" w:rsidRPr="00815699">
        <w:rPr>
          <w:rFonts w:ascii="Times New Roman" w:hAnsi="Times New Roman" w:cs="Times New Roman"/>
          <w:sz w:val="24"/>
          <w:szCs w:val="24"/>
          <w:lang w:val="ro-RO"/>
        </w:rPr>
        <w:t>u în special la evoluțiile timide ale sistemului</w:t>
      </w:r>
      <w:r w:rsidR="008A1228">
        <w:rPr>
          <w:rFonts w:ascii="Times New Roman" w:hAnsi="Times New Roman" w:cs="Times New Roman"/>
          <w:sz w:val="24"/>
          <w:szCs w:val="24"/>
          <w:lang w:val="ro-RO"/>
        </w:rPr>
        <w:t>,</w:t>
      </w:r>
      <w:r w:rsidR="00B40572" w:rsidRPr="00815699">
        <w:rPr>
          <w:rFonts w:ascii="Times New Roman" w:hAnsi="Times New Roman" w:cs="Times New Roman"/>
          <w:sz w:val="24"/>
          <w:szCs w:val="24"/>
          <w:lang w:val="ro-RO"/>
        </w:rPr>
        <w:t xml:space="preserve"> cauzate în special de modificările legislative din </w:t>
      </w:r>
      <w:r w:rsidR="008A1228">
        <w:rPr>
          <w:rFonts w:ascii="Times New Roman" w:hAnsi="Times New Roman" w:cs="Times New Roman"/>
          <w:sz w:val="24"/>
          <w:szCs w:val="24"/>
          <w:lang w:val="ro-RO"/>
        </w:rPr>
        <w:t xml:space="preserve">anii </w:t>
      </w:r>
      <w:r w:rsidR="00B40572" w:rsidRPr="00815699">
        <w:rPr>
          <w:rFonts w:ascii="Times New Roman" w:hAnsi="Times New Roman" w:cs="Times New Roman"/>
          <w:sz w:val="24"/>
          <w:szCs w:val="24"/>
          <w:lang w:val="ro-RO"/>
        </w:rPr>
        <w:t xml:space="preserve">2004-2005, precum și de încercările de transparentizare a Consiliului Superior al Magistraturii. Amânarea intrării în vigoare a celor 4 coduri (civil, penal, de procedură penală, respectiv civilă) a fost o constantă a criticilor MCV, până la raportul din </w:t>
      </w:r>
      <w:r w:rsidR="00B40572" w:rsidRPr="006266A5">
        <w:rPr>
          <w:rFonts w:ascii="Times New Roman" w:hAnsi="Times New Roman" w:cs="Times New Roman"/>
          <w:b/>
          <w:sz w:val="24"/>
          <w:szCs w:val="24"/>
          <w:lang w:val="ro-RO"/>
        </w:rPr>
        <w:t>2012</w:t>
      </w:r>
      <w:r w:rsidR="00B40572" w:rsidRPr="00815699">
        <w:rPr>
          <w:rFonts w:ascii="Times New Roman" w:hAnsi="Times New Roman" w:cs="Times New Roman"/>
          <w:sz w:val="24"/>
          <w:szCs w:val="24"/>
          <w:lang w:val="ro-RO"/>
        </w:rPr>
        <w:t xml:space="preserve"> (și, parțial</w:t>
      </w:r>
      <w:r w:rsidR="008A1228">
        <w:rPr>
          <w:rFonts w:ascii="Times New Roman" w:hAnsi="Times New Roman" w:cs="Times New Roman"/>
          <w:sz w:val="24"/>
          <w:szCs w:val="24"/>
          <w:lang w:val="ro-RO"/>
        </w:rPr>
        <w:t>,</w:t>
      </w:r>
      <w:r w:rsidR="00B40572" w:rsidRPr="00815699">
        <w:rPr>
          <w:rFonts w:ascii="Times New Roman" w:hAnsi="Times New Roman" w:cs="Times New Roman"/>
          <w:sz w:val="24"/>
          <w:szCs w:val="24"/>
          <w:lang w:val="ro-RO"/>
        </w:rPr>
        <w:t xml:space="preserve"> al celui din </w:t>
      </w:r>
      <w:r w:rsidR="00B40572" w:rsidRPr="006266A5">
        <w:rPr>
          <w:rFonts w:ascii="Times New Roman" w:hAnsi="Times New Roman" w:cs="Times New Roman"/>
          <w:b/>
          <w:sz w:val="24"/>
          <w:szCs w:val="24"/>
          <w:lang w:val="ro-RO"/>
        </w:rPr>
        <w:t>2011</w:t>
      </w:r>
      <w:r w:rsidR="00B40572" w:rsidRPr="00815699">
        <w:rPr>
          <w:rFonts w:ascii="Times New Roman" w:hAnsi="Times New Roman" w:cs="Times New Roman"/>
          <w:sz w:val="24"/>
          <w:szCs w:val="24"/>
          <w:lang w:val="ro-RO"/>
        </w:rPr>
        <w:t xml:space="preserve">). </w:t>
      </w:r>
      <w:r w:rsidR="009D39D7" w:rsidRPr="00815699">
        <w:rPr>
          <w:rFonts w:ascii="Times New Roman" w:hAnsi="Times New Roman" w:cs="Times New Roman"/>
          <w:sz w:val="24"/>
          <w:szCs w:val="24"/>
          <w:lang w:val="ro-RO"/>
        </w:rPr>
        <w:t>O altă chestiune considerată importantă de</w:t>
      </w:r>
      <w:r w:rsidR="008A1228">
        <w:rPr>
          <w:rFonts w:ascii="Times New Roman" w:hAnsi="Times New Roman" w:cs="Times New Roman"/>
          <w:sz w:val="24"/>
          <w:szCs w:val="24"/>
          <w:lang w:val="ro-RO"/>
        </w:rPr>
        <w:t xml:space="preserve"> către</w:t>
      </w:r>
      <w:r w:rsidR="009D39D7" w:rsidRPr="00815699">
        <w:rPr>
          <w:rFonts w:ascii="Times New Roman" w:hAnsi="Times New Roman" w:cs="Times New Roman"/>
          <w:sz w:val="24"/>
          <w:szCs w:val="24"/>
          <w:lang w:val="ro-RO"/>
        </w:rPr>
        <w:t xml:space="preserve"> Comisie s-a referit la </w:t>
      </w:r>
      <w:r w:rsidR="009D39D7" w:rsidRPr="00815699">
        <w:rPr>
          <w:rFonts w:ascii="Times New Roman" w:hAnsi="Times New Roman" w:cs="Times New Roman"/>
          <w:bCs/>
          <w:sz w:val="24"/>
          <w:szCs w:val="24"/>
          <w:lang w:val="ro-RO"/>
        </w:rPr>
        <w:t>unificarea jurisprudenței pe tot teritoriul na</w:t>
      </w:r>
      <w:r w:rsidR="008A1228">
        <w:rPr>
          <w:rFonts w:ascii="Times New Roman" w:hAnsi="Times New Roman" w:cs="Times New Roman"/>
          <w:bCs/>
          <w:sz w:val="24"/>
          <w:szCs w:val="24"/>
          <w:lang w:val="ro-RO"/>
        </w:rPr>
        <w:t>ț</w:t>
      </w:r>
      <w:r w:rsidR="009D39D7" w:rsidRPr="00815699">
        <w:rPr>
          <w:rFonts w:ascii="Times New Roman" w:hAnsi="Times New Roman" w:cs="Times New Roman"/>
          <w:bCs/>
          <w:sz w:val="24"/>
          <w:szCs w:val="24"/>
          <w:lang w:val="ro-RO"/>
        </w:rPr>
        <w:t xml:space="preserve">ional, recomandându-se consolidarea rolului Înaltei Curți de Casație și Justiție </w:t>
      </w:r>
      <w:r w:rsidR="009D39D7" w:rsidRPr="00815699">
        <w:rPr>
          <w:rFonts w:ascii="Times New Roman" w:hAnsi="Times New Roman" w:cs="Times New Roman"/>
          <w:sz w:val="24"/>
          <w:szCs w:val="24"/>
          <w:lang w:val="ro-RO"/>
        </w:rPr>
        <w:t xml:space="preserve">în </w:t>
      </w:r>
      <w:r w:rsidR="009D39D7" w:rsidRPr="00815699">
        <w:rPr>
          <w:rFonts w:ascii="Times New Roman" w:hAnsi="Times New Roman" w:cs="Times New Roman"/>
          <w:bCs/>
          <w:sz w:val="24"/>
          <w:szCs w:val="24"/>
          <w:lang w:val="ro-RO"/>
        </w:rPr>
        <w:t>activitatea de interpretare și aplicare a legii.</w:t>
      </w:r>
      <w:r w:rsidR="009D39D7" w:rsidRPr="00815699">
        <w:rPr>
          <w:rFonts w:ascii="Times New Roman" w:hAnsi="Times New Roman" w:cs="Times New Roman"/>
          <w:bCs/>
          <w:sz w:val="24"/>
          <w:szCs w:val="24"/>
        </w:rPr>
        <w:t xml:space="preserve"> </w:t>
      </w:r>
      <w:r w:rsidR="00B40572" w:rsidRPr="00815699">
        <w:rPr>
          <w:rFonts w:ascii="Times New Roman" w:hAnsi="Times New Roman" w:cs="Times New Roman"/>
          <w:sz w:val="24"/>
          <w:szCs w:val="24"/>
          <w:lang w:val="ro-RO"/>
        </w:rPr>
        <w:t xml:space="preserve">Problema insuficienței resurselor umane a fost, de asemenea, o altă critică a Comisiei. În raportul din anul </w:t>
      </w:r>
      <w:r w:rsidR="00B40572" w:rsidRPr="006266A5">
        <w:rPr>
          <w:rFonts w:ascii="Times New Roman" w:hAnsi="Times New Roman" w:cs="Times New Roman"/>
          <w:b/>
          <w:sz w:val="24"/>
          <w:szCs w:val="24"/>
          <w:lang w:val="ro-RO"/>
        </w:rPr>
        <w:t>2009</w:t>
      </w:r>
      <w:r w:rsidR="00B40572" w:rsidRPr="00815699">
        <w:rPr>
          <w:rFonts w:ascii="Times New Roman" w:hAnsi="Times New Roman" w:cs="Times New Roman"/>
          <w:sz w:val="24"/>
          <w:szCs w:val="24"/>
          <w:lang w:val="ro-RO"/>
        </w:rPr>
        <w:t xml:space="preserve"> s-a constatat lipsa unei strategii eficiente a resurselor umane, Comisia recomandând României</w:t>
      </w:r>
      <w:r w:rsidR="00243218" w:rsidRPr="00815699">
        <w:rPr>
          <w:rFonts w:ascii="Times New Roman" w:hAnsi="Times New Roman" w:cs="Times New Roman"/>
          <w:sz w:val="24"/>
          <w:szCs w:val="24"/>
          <w:lang w:val="ro-RO"/>
        </w:rPr>
        <w:t xml:space="preserve"> </w:t>
      </w:r>
      <w:r w:rsidR="00B40572" w:rsidRPr="00815699">
        <w:rPr>
          <w:rFonts w:ascii="Times New Roman" w:hAnsi="Times New Roman" w:cs="Times New Roman"/>
          <w:sz w:val="24"/>
          <w:szCs w:val="24"/>
          <w:lang w:val="ro-RO"/>
        </w:rPr>
        <w:t xml:space="preserve">să pună în aplicare o strategie </w:t>
      </w:r>
      <w:r w:rsidR="00B40572" w:rsidRPr="00815699">
        <w:rPr>
          <w:rFonts w:ascii="Times New Roman" w:hAnsi="Times New Roman" w:cs="Times New Roman"/>
          <w:bCs/>
          <w:sz w:val="24"/>
          <w:szCs w:val="24"/>
          <w:lang w:val="ro-RO"/>
        </w:rPr>
        <w:t>pe termen scurt</w:t>
      </w:r>
      <w:r w:rsidR="008A1228">
        <w:rPr>
          <w:rFonts w:ascii="Times New Roman" w:hAnsi="Times New Roman" w:cs="Times New Roman"/>
          <w:bCs/>
          <w:sz w:val="24"/>
          <w:szCs w:val="24"/>
          <w:lang w:val="ro-RO"/>
        </w:rPr>
        <w:t>,</w:t>
      </w:r>
      <w:r w:rsidR="00B40572" w:rsidRPr="00815699">
        <w:rPr>
          <w:rFonts w:ascii="Times New Roman" w:hAnsi="Times New Roman" w:cs="Times New Roman"/>
          <w:bCs/>
          <w:sz w:val="24"/>
          <w:szCs w:val="24"/>
          <w:lang w:val="ro-RO"/>
        </w:rPr>
        <w:t xml:space="preserve"> </w:t>
      </w:r>
      <w:r w:rsidR="00B40572" w:rsidRPr="00815699">
        <w:rPr>
          <w:rFonts w:ascii="Times New Roman" w:hAnsi="Times New Roman" w:cs="Times New Roman"/>
          <w:sz w:val="24"/>
          <w:szCs w:val="24"/>
          <w:lang w:val="ro-RO"/>
        </w:rPr>
        <w:t xml:space="preserve">prin </w:t>
      </w:r>
      <w:r w:rsidR="00B40572" w:rsidRPr="00815699">
        <w:rPr>
          <w:rFonts w:ascii="Times New Roman" w:hAnsi="Times New Roman" w:cs="Times New Roman"/>
          <w:bCs/>
          <w:sz w:val="24"/>
          <w:szCs w:val="24"/>
          <w:lang w:val="ro-RO"/>
        </w:rPr>
        <w:t xml:space="preserve">transferarea posturilor vacante acolo unde </w:t>
      </w:r>
      <w:r w:rsidR="008A1228">
        <w:rPr>
          <w:rFonts w:ascii="Times New Roman" w:hAnsi="Times New Roman" w:cs="Times New Roman"/>
          <w:bCs/>
          <w:sz w:val="24"/>
          <w:szCs w:val="24"/>
          <w:lang w:val="ro-RO"/>
        </w:rPr>
        <w:t>era</w:t>
      </w:r>
      <w:r w:rsidR="00B40572" w:rsidRPr="00815699">
        <w:rPr>
          <w:rFonts w:ascii="Times New Roman" w:hAnsi="Times New Roman" w:cs="Times New Roman"/>
          <w:bCs/>
          <w:sz w:val="24"/>
          <w:szCs w:val="24"/>
          <w:lang w:val="ro-RO"/>
        </w:rPr>
        <w:t xml:space="preserve"> mai mare nevoie de ele (inclusiv efectuarea de transferuri între grade de jurisdicție diferite), prin transferarea sarcinilor administrative personalului auxiliar, și, pe termen mediu și lung, prin elaborarea unei scheme de personal adaptate nevoilor sistemului judiciar, prin efectuarea de simulări și previziuni în ceea ce privește numirile, </w:t>
      </w:r>
      <w:r w:rsidR="00B40572" w:rsidRPr="00815699">
        <w:rPr>
          <w:rFonts w:ascii="Times New Roman" w:hAnsi="Times New Roman" w:cs="Times New Roman"/>
          <w:bCs/>
          <w:sz w:val="24"/>
          <w:szCs w:val="24"/>
          <w:lang w:val="ro-RO"/>
        </w:rPr>
        <w:lastRenderedPageBreak/>
        <w:t>transferurile de personal, detașările și pensionările</w:t>
      </w:r>
      <w:r w:rsidR="00B40572" w:rsidRPr="00815699">
        <w:rPr>
          <w:rFonts w:ascii="Times New Roman" w:hAnsi="Times New Roman" w:cs="Times New Roman"/>
          <w:sz w:val="24"/>
          <w:szCs w:val="24"/>
          <w:lang w:val="ro-RO"/>
        </w:rPr>
        <w:t>.</w:t>
      </w:r>
      <w:r w:rsidR="009D39D7" w:rsidRPr="00815699">
        <w:rPr>
          <w:rFonts w:ascii="Times New Roman" w:hAnsi="Times New Roman" w:cs="Times New Roman"/>
          <w:sz w:val="24"/>
          <w:szCs w:val="24"/>
          <w:lang w:val="ro-RO"/>
        </w:rPr>
        <w:t xml:space="preserve"> În toate recomandările sale, Comisia a indicat ca toate modificările legislative sa fie făcute cu </w:t>
      </w:r>
      <w:r w:rsidR="004D03D8" w:rsidRPr="00815699">
        <w:rPr>
          <w:rFonts w:ascii="Times New Roman" w:hAnsi="Times New Roman" w:cs="Times New Roman"/>
          <w:sz w:val="24"/>
          <w:szCs w:val="24"/>
          <w:lang w:val="ro-RO"/>
        </w:rPr>
        <w:t>studii de impact și cu consultări ale populației.</w:t>
      </w:r>
    </w:p>
    <w:p w:rsidR="0055785C" w:rsidRPr="00815699" w:rsidRDefault="0055785C" w:rsidP="006266A5">
      <w:pPr>
        <w:spacing w:after="0" w:line="360" w:lineRule="auto"/>
        <w:ind w:firstLine="720"/>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 xml:space="preserve">În cel de-al cincilea an, Comisia a redactat un raport (al 11-lea, din </w:t>
      </w:r>
      <w:r w:rsidRPr="006266A5">
        <w:rPr>
          <w:rFonts w:ascii="Times New Roman" w:hAnsi="Times New Roman" w:cs="Times New Roman"/>
          <w:b/>
          <w:sz w:val="24"/>
          <w:szCs w:val="24"/>
          <w:lang w:val="ro-RO"/>
        </w:rPr>
        <w:t>iulie 2012</w:t>
      </w:r>
      <w:r w:rsidRPr="00815699">
        <w:rPr>
          <w:rFonts w:ascii="Times New Roman" w:hAnsi="Times New Roman" w:cs="Times New Roman"/>
          <w:sz w:val="24"/>
          <w:szCs w:val="24"/>
          <w:lang w:val="ro-RO"/>
        </w:rPr>
        <w:t xml:space="preserve">) care integra concluziile de până atunci ale MCV. Comisia sublinia că inconsecvența jurisprudenței este deficiența majoră a sistemului judiciar din România, o explicație putând fi că magistrații nu  consideră importantă unificarea practicii, fapt care poate fi legat de o interpretare dusă la extrem a independenței acestora. Recomandările </w:t>
      </w:r>
      <w:r w:rsidR="008A1228">
        <w:rPr>
          <w:rFonts w:ascii="Times New Roman" w:hAnsi="Times New Roman" w:cs="Times New Roman"/>
          <w:sz w:val="24"/>
          <w:szCs w:val="24"/>
          <w:lang w:val="ro-RO"/>
        </w:rPr>
        <w:t xml:space="preserve">de </w:t>
      </w:r>
      <w:r w:rsidRPr="00815699">
        <w:rPr>
          <w:rFonts w:ascii="Times New Roman" w:hAnsi="Times New Roman" w:cs="Times New Roman"/>
          <w:sz w:val="24"/>
          <w:szCs w:val="24"/>
          <w:lang w:val="ro-RO"/>
        </w:rPr>
        <w:t>la acel moment au vizat punerea unui mai mare accent pe sesizarea ICCJ cu recursuri în interesul legii. În final</w:t>
      </w:r>
      <w:r w:rsidR="00CB2918" w:rsidRPr="00815699">
        <w:rPr>
          <w:rFonts w:ascii="Times New Roman" w:hAnsi="Times New Roman" w:cs="Times New Roman"/>
          <w:sz w:val="24"/>
          <w:szCs w:val="24"/>
          <w:lang w:val="ro-RO"/>
        </w:rPr>
        <w:t>,</w:t>
      </w:r>
      <w:r w:rsidRPr="00815699">
        <w:rPr>
          <w:rFonts w:ascii="Times New Roman" w:hAnsi="Times New Roman" w:cs="Times New Roman"/>
          <w:sz w:val="24"/>
          <w:szCs w:val="24"/>
          <w:lang w:val="ro-RO"/>
        </w:rPr>
        <w:t xml:space="preserve"> Comisia a emis 10 recomandări, bazate fundamental pe principiile enunțate la adoptarea MCV, dar </w:t>
      </w:r>
      <w:r w:rsidR="00CB2918" w:rsidRPr="00815699">
        <w:rPr>
          <w:rFonts w:ascii="Times New Roman" w:hAnsi="Times New Roman" w:cs="Times New Roman"/>
          <w:sz w:val="24"/>
          <w:szCs w:val="24"/>
          <w:lang w:val="ro-RO"/>
        </w:rPr>
        <w:t>mult mai punctuale, întemeiate pe noile observații din perioada de verificare.</w:t>
      </w:r>
    </w:p>
    <w:p w:rsidR="00FE34BA" w:rsidRPr="00815699" w:rsidRDefault="00CB2918" w:rsidP="006266A5">
      <w:pPr>
        <w:spacing w:after="0" w:line="360" w:lineRule="auto"/>
        <w:ind w:firstLine="720"/>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 xml:space="preserve">În raportul din </w:t>
      </w:r>
      <w:r w:rsidRPr="006266A5">
        <w:rPr>
          <w:rFonts w:ascii="Times New Roman" w:hAnsi="Times New Roman" w:cs="Times New Roman"/>
          <w:b/>
          <w:sz w:val="24"/>
          <w:szCs w:val="24"/>
          <w:lang w:val="ro-RO"/>
        </w:rPr>
        <w:t>2013</w:t>
      </w:r>
      <w:r w:rsidRPr="00815699">
        <w:rPr>
          <w:rFonts w:ascii="Times New Roman" w:hAnsi="Times New Roman" w:cs="Times New Roman"/>
          <w:sz w:val="24"/>
          <w:szCs w:val="24"/>
          <w:lang w:val="ro-RO"/>
        </w:rPr>
        <w:t xml:space="preserve"> privind progresele înregistrate de România în cadrul MCV, Comisia </w:t>
      </w:r>
      <w:r w:rsidR="008A1228">
        <w:rPr>
          <w:rFonts w:ascii="Times New Roman" w:hAnsi="Times New Roman" w:cs="Times New Roman"/>
          <w:sz w:val="24"/>
          <w:szCs w:val="24"/>
          <w:lang w:val="ro-RO"/>
        </w:rPr>
        <w:t xml:space="preserve">a </w:t>
      </w:r>
      <w:r w:rsidRPr="00815699">
        <w:rPr>
          <w:rFonts w:ascii="Times New Roman" w:hAnsi="Times New Roman" w:cs="Times New Roman"/>
          <w:sz w:val="24"/>
          <w:szCs w:val="24"/>
          <w:lang w:val="ro-RO"/>
        </w:rPr>
        <w:t>constat</w:t>
      </w:r>
      <w:r w:rsidR="008A1228">
        <w:rPr>
          <w:rFonts w:ascii="Times New Roman" w:hAnsi="Times New Roman" w:cs="Times New Roman"/>
          <w:sz w:val="24"/>
          <w:szCs w:val="24"/>
          <w:lang w:val="ro-RO"/>
        </w:rPr>
        <w:t>at</w:t>
      </w:r>
      <w:r w:rsidRPr="00815699">
        <w:rPr>
          <w:rFonts w:ascii="Times New Roman" w:hAnsi="Times New Roman" w:cs="Times New Roman"/>
          <w:sz w:val="24"/>
          <w:szCs w:val="24"/>
          <w:lang w:val="ro-RO"/>
        </w:rPr>
        <w:t xml:space="preserve"> din nou că nu toate recomandările au fost luate în considerare și </w:t>
      </w:r>
      <w:r w:rsidR="008A1228">
        <w:rPr>
          <w:rFonts w:ascii="Times New Roman" w:hAnsi="Times New Roman" w:cs="Times New Roman"/>
          <w:sz w:val="24"/>
          <w:szCs w:val="24"/>
          <w:lang w:val="ro-RO"/>
        </w:rPr>
        <w:t xml:space="preserve">a </w:t>
      </w:r>
      <w:r w:rsidRPr="00815699">
        <w:rPr>
          <w:rFonts w:ascii="Times New Roman" w:hAnsi="Times New Roman" w:cs="Times New Roman"/>
          <w:sz w:val="24"/>
          <w:szCs w:val="24"/>
          <w:lang w:val="ro-RO"/>
        </w:rPr>
        <w:t>recomand</w:t>
      </w:r>
      <w:r w:rsidR="008A1228">
        <w:rPr>
          <w:rFonts w:ascii="Times New Roman" w:hAnsi="Times New Roman" w:cs="Times New Roman"/>
          <w:sz w:val="24"/>
          <w:szCs w:val="24"/>
          <w:lang w:val="ro-RO"/>
        </w:rPr>
        <w:t>at</w:t>
      </w:r>
      <w:r w:rsidRPr="00815699">
        <w:rPr>
          <w:rFonts w:ascii="Times New Roman" w:hAnsi="Times New Roman" w:cs="Times New Roman"/>
          <w:sz w:val="24"/>
          <w:szCs w:val="24"/>
          <w:lang w:val="ro-RO"/>
        </w:rPr>
        <w:t xml:space="preserve"> un nou set de măsuri, cele mai importante fiind introducerea unui cadru clar privind interdicția de a critica hotărâri judecătorești și de a submina activitatea magistraților sau de a face presiuni asupra acestora, asigurându-se și măsuri reparatorii eficiente împotriva exercitării de presiuni nejustificate și a recurgerii la acte de intimidare de către mijloacele de informare în masă asupra sistemului judiciar și a instituțiilor implicate în combaterea corupției. </w:t>
      </w:r>
    </w:p>
    <w:p w:rsidR="00CB2918" w:rsidRPr="00815699" w:rsidRDefault="00CB2918" w:rsidP="006266A5">
      <w:pPr>
        <w:spacing w:after="0" w:line="360" w:lineRule="auto"/>
        <w:ind w:firstLine="720"/>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 xml:space="preserve">Pentru prima oară, Mecanismul solicita executivului să se asigure că persoanele care urmează să fie numite la conducerea Ministerului Public și a DNA-ului </w:t>
      </w:r>
      <w:r w:rsidR="00FE34BA" w:rsidRPr="00815699">
        <w:rPr>
          <w:rFonts w:ascii="Times New Roman" w:hAnsi="Times New Roman" w:cs="Times New Roman"/>
          <w:sz w:val="24"/>
          <w:szCs w:val="24"/>
          <w:lang w:val="ro-RO"/>
        </w:rPr>
        <w:t>”</w:t>
      </w:r>
      <w:r w:rsidRPr="00815699">
        <w:rPr>
          <w:rFonts w:ascii="Times New Roman" w:hAnsi="Times New Roman" w:cs="Times New Roman"/>
          <w:sz w:val="24"/>
          <w:szCs w:val="24"/>
          <w:lang w:val="ro-RO"/>
        </w:rPr>
        <w:t xml:space="preserve">sunt alese dintr-un număr suficient de mare de candidați de înaltă calitate profesională, în urma unui proces deschis și transparent, că îndeplinesc criteriile stabilite în Acordul de colaborare instituțională, în special în ceea ce privește competența profesională, integritatea și rezultatele înregistrate în acțiunea anticorupție. Un aviz favorabil din partea Consiliului Superior al Magistraturii va fi un pas important în </w:t>
      </w:r>
      <w:r w:rsidR="00FE34BA" w:rsidRPr="00815699">
        <w:rPr>
          <w:rFonts w:ascii="Times New Roman" w:hAnsi="Times New Roman" w:cs="Times New Roman"/>
          <w:sz w:val="24"/>
          <w:szCs w:val="24"/>
          <w:lang w:val="ro-RO"/>
        </w:rPr>
        <w:t>obținerea încrederii publicului”. Această cerință se va acutiza în următorii ani.</w:t>
      </w:r>
      <w:r w:rsidR="00FE34BA" w:rsidRPr="00815699">
        <w:rPr>
          <w:rFonts w:ascii="Times New Roman" w:hAnsi="Times New Roman" w:cs="Times New Roman"/>
          <w:sz w:val="24"/>
          <w:szCs w:val="24"/>
        </w:rPr>
        <w:t xml:space="preserve"> </w:t>
      </w:r>
      <w:hyperlink r:id="rId8" w:history="1">
        <w:r w:rsidR="00FE34BA" w:rsidRPr="00815699">
          <w:rPr>
            <w:rStyle w:val="Hyperlink"/>
            <w:rFonts w:ascii="Times New Roman" w:hAnsi="Times New Roman" w:cs="Times New Roman"/>
            <w:color w:val="auto"/>
            <w:sz w:val="24"/>
            <w:szCs w:val="24"/>
            <w:u w:val="none"/>
            <w:lang w:val="ro-RO"/>
          </w:rPr>
          <w:t>În concluziile Consiliului Uniunii Europene din 14 februarie 201</w:t>
        </w:r>
      </w:hyperlink>
      <w:r w:rsidR="00FE34BA" w:rsidRPr="00815699">
        <w:rPr>
          <w:rFonts w:ascii="Times New Roman" w:hAnsi="Times New Roman" w:cs="Times New Roman"/>
          <w:sz w:val="24"/>
          <w:szCs w:val="24"/>
          <w:lang w:val="ro-RO"/>
        </w:rPr>
        <w:t>4 erau apreciate eforturile României  de a îndeplini cerințele Comisiei, fiind lăudate instituții precum DNA, ANI, ÎCCJ.</w:t>
      </w:r>
      <w:r w:rsidR="00C276F9" w:rsidRPr="00815699">
        <w:rPr>
          <w:rFonts w:ascii="Times New Roman" w:hAnsi="Times New Roman" w:cs="Times New Roman"/>
          <w:sz w:val="24"/>
          <w:szCs w:val="24"/>
          <w:lang w:val="ro-RO"/>
        </w:rPr>
        <w:t xml:space="preserve"> Comi</w:t>
      </w:r>
      <w:r w:rsidR="001042C2">
        <w:rPr>
          <w:rFonts w:ascii="Times New Roman" w:hAnsi="Times New Roman" w:cs="Times New Roman"/>
          <w:sz w:val="24"/>
          <w:szCs w:val="24"/>
          <w:lang w:val="ro-RO"/>
        </w:rPr>
        <w:t>s</w:t>
      </w:r>
      <w:r w:rsidR="00C276F9" w:rsidRPr="00815699">
        <w:rPr>
          <w:rFonts w:ascii="Times New Roman" w:hAnsi="Times New Roman" w:cs="Times New Roman"/>
          <w:sz w:val="24"/>
          <w:szCs w:val="24"/>
          <w:lang w:val="ro-RO"/>
        </w:rPr>
        <w:t>ia aprecia modificările legislative, sub rezerva punerii în aplicare satisfăcătoare a noului Cod Penal și a noului Cod de procedură penală. De asemenea, Comisia considera că</w:t>
      </w:r>
      <w:r w:rsidR="00C276F9" w:rsidRPr="00815699">
        <w:rPr>
          <w:rFonts w:ascii="Times New Roman" w:hAnsi="Times New Roman" w:cs="Times New Roman"/>
          <w:sz w:val="24"/>
          <w:szCs w:val="24"/>
        </w:rPr>
        <w:t xml:space="preserve"> </w:t>
      </w:r>
      <w:r w:rsidR="00C276F9" w:rsidRPr="00815699">
        <w:rPr>
          <w:rFonts w:ascii="Times New Roman" w:hAnsi="Times New Roman" w:cs="Times New Roman"/>
          <w:sz w:val="24"/>
          <w:szCs w:val="24"/>
          <w:lang w:val="ro-RO"/>
        </w:rPr>
        <w:t>tratarea faptelor de corupție drept infracțiuni grave, inclusiv abordarea în mod eficace și disuasiv a acesteia la toate nivelurile, ar trebui să rămână o prioritate.</w:t>
      </w:r>
    </w:p>
    <w:p w:rsidR="006266A5" w:rsidRDefault="00C276F9" w:rsidP="006266A5">
      <w:pPr>
        <w:spacing w:after="0" w:line="360" w:lineRule="auto"/>
        <w:ind w:firstLine="720"/>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 xml:space="preserve">În raportul de progres pe anul </w:t>
      </w:r>
      <w:r w:rsidRPr="006266A5">
        <w:rPr>
          <w:rFonts w:ascii="Times New Roman" w:hAnsi="Times New Roman" w:cs="Times New Roman"/>
          <w:b/>
          <w:sz w:val="24"/>
          <w:szCs w:val="24"/>
          <w:lang w:val="ro-RO"/>
        </w:rPr>
        <w:t>2015</w:t>
      </w:r>
      <w:r w:rsidRPr="00815699">
        <w:rPr>
          <w:rFonts w:ascii="Times New Roman" w:hAnsi="Times New Roman" w:cs="Times New Roman"/>
          <w:sz w:val="24"/>
          <w:szCs w:val="24"/>
          <w:lang w:val="ro-RO"/>
        </w:rPr>
        <w:t>, este de remarcat ca CE apreciază intrarea în vigoare a codurilor penal, respectiv de procedură penală, unele decizii ale Curții Constituționale care ajustează parte dintre modificări</w:t>
      </w:r>
      <w:r w:rsidR="0041546E" w:rsidRPr="00815699">
        <w:rPr>
          <w:rFonts w:ascii="Times New Roman" w:hAnsi="Times New Roman" w:cs="Times New Roman"/>
          <w:sz w:val="24"/>
          <w:szCs w:val="24"/>
          <w:lang w:val="ro-RO"/>
        </w:rPr>
        <w:t>le codurilor</w:t>
      </w:r>
      <w:r w:rsidRPr="00815699">
        <w:rPr>
          <w:rFonts w:ascii="Times New Roman" w:hAnsi="Times New Roman" w:cs="Times New Roman"/>
          <w:sz w:val="24"/>
          <w:szCs w:val="24"/>
          <w:lang w:val="ro-RO"/>
        </w:rPr>
        <w:t xml:space="preserve">, dar și </w:t>
      </w:r>
      <w:r w:rsidR="0041546E" w:rsidRPr="00815699">
        <w:rPr>
          <w:rFonts w:ascii="Times New Roman" w:hAnsi="Times New Roman" w:cs="Times New Roman"/>
          <w:sz w:val="24"/>
          <w:szCs w:val="24"/>
          <w:lang w:val="ro-RO"/>
        </w:rPr>
        <w:t xml:space="preserve">Strategia de dezvoltare  sistemului judiciar 2015-2020, document bazat în mare măsură pe recomandările din raportul MCV. În finalul </w:t>
      </w:r>
      <w:r w:rsidR="0041546E" w:rsidRPr="00815699">
        <w:rPr>
          <w:rFonts w:ascii="Times New Roman" w:hAnsi="Times New Roman" w:cs="Times New Roman"/>
          <w:sz w:val="24"/>
          <w:szCs w:val="24"/>
          <w:lang w:val="ro-RO"/>
        </w:rPr>
        <w:lastRenderedPageBreak/>
        <w:t xml:space="preserve">documentului, în cea mai mare parte pozitiv, Comisia a recomandat statului român să ia măsuri în următoarele domenii: </w:t>
      </w:r>
    </w:p>
    <w:p w:rsidR="006266A5" w:rsidRDefault="0041546E" w:rsidP="006266A5">
      <w:pPr>
        <w:spacing w:after="0" w:line="360" w:lineRule="auto"/>
        <w:ind w:firstLine="720"/>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 xml:space="preserve">a) Independența justiției, cu referire în special la numirea procurorului-șef DIICOT; </w:t>
      </w:r>
    </w:p>
    <w:p w:rsidR="006266A5" w:rsidRDefault="0041546E" w:rsidP="006266A5">
      <w:pPr>
        <w:spacing w:after="0" w:line="360" w:lineRule="auto"/>
        <w:ind w:firstLine="720"/>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 xml:space="preserve">b) Reforma sistemului judiciar, cu referire în special la finalizarea modificărilor codurilor; </w:t>
      </w:r>
    </w:p>
    <w:p w:rsidR="006266A5" w:rsidRDefault="0041546E" w:rsidP="006266A5">
      <w:pPr>
        <w:spacing w:after="0" w:line="360" w:lineRule="auto"/>
        <w:ind w:firstLine="720"/>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 xml:space="preserve">c) Integritatea, cu referire în special la </w:t>
      </w:r>
      <w:r w:rsidR="004249BB" w:rsidRPr="00815699">
        <w:rPr>
          <w:rFonts w:ascii="Times New Roman" w:hAnsi="Times New Roman" w:cs="Times New Roman"/>
          <w:sz w:val="24"/>
          <w:szCs w:val="24"/>
          <w:lang w:val="ro-RO"/>
        </w:rPr>
        <w:t>verificarea conflictelor de interese în cadrul achizițiilor publice</w:t>
      </w:r>
      <w:r w:rsidR="00E110C5" w:rsidRPr="00815699">
        <w:rPr>
          <w:rFonts w:ascii="Times New Roman" w:hAnsi="Times New Roman" w:cs="Times New Roman"/>
          <w:sz w:val="24"/>
          <w:szCs w:val="24"/>
          <w:lang w:val="ro-RO"/>
        </w:rPr>
        <w:t xml:space="preserve">; </w:t>
      </w:r>
    </w:p>
    <w:p w:rsidR="0041546E" w:rsidRPr="00815699" w:rsidRDefault="00E110C5" w:rsidP="006266A5">
      <w:pPr>
        <w:spacing w:after="0" w:line="360" w:lineRule="auto"/>
        <w:ind w:firstLine="720"/>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d)</w:t>
      </w:r>
      <w:r w:rsidR="0041546E" w:rsidRPr="00815699">
        <w:rPr>
          <w:rFonts w:ascii="Times New Roman" w:hAnsi="Times New Roman" w:cs="Times New Roman"/>
          <w:sz w:val="24"/>
          <w:szCs w:val="24"/>
          <w:lang w:val="ro-RO"/>
        </w:rPr>
        <w:t xml:space="preserve"> Lupta împotriva corupției</w:t>
      </w:r>
      <w:r w:rsidRPr="00815699">
        <w:rPr>
          <w:rFonts w:ascii="Times New Roman" w:hAnsi="Times New Roman" w:cs="Times New Roman"/>
          <w:sz w:val="24"/>
          <w:szCs w:val="24"/>
          <w:lang w:val="ro-RO"/>
        </w:rPr>
        <w:t>, având în vedere în special colaborarea cu recent înființata ANABI (Agenția Națională de Administrare a Bunurilor Individualizate).</w:t>
      </w:r>
    </w:p>
    <w:p w:rsidR="00A54D0F" w:rsidRPr="00815699" w:rsidRDefault="00A54D0F" w:rsidP="006266A5">
      <w:pPr>
        <w:spacing w:after="0" w:line="360" w:lineRule="auto"/>
        <w:ind w:firstLine="720"/>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 xml:space="preserve">Anul </w:t>
      </w:r>
      <w:r w:rsidRPr="006266A5">
        <w:rPr>
          <w:rFonts w:ascii="Times New Roman" w:hAnsi="Times New Roman" w:cs="Times New Roman"/>
          <w:b/>
          <w:sz w:val="24"/>
          <w:szCs w:val="24"/>
          <w:lang w:val="ro-RO"/>
        </w:rPr>
        <w:t>2016</w:t>
      </w:r>
      <w:r w:rsidRPr="00815699">
        <w:rPr>
          <w:rFonts w:ascii="Times New Roman" w:hAnsi="Times New Roman" w:cs="Times New Roman"/>
          <w:sz w:val="24"/>
          <w:szCs w:val="24"/>
          <w:lang w:val="ro-RO"/>
        </w:rPr>
        <w:t xml:space="preserve"> a adus pentru prima da</w:t>
      </w:r>
      <w:r w:rsidR="00243218" w:rsidRPr="00815699">
        <w:rPr>
          <w:rFonts w:ascii="Times New Roman" w:hAnsi="Times New Roman" w:cs="Times New Roman"/>
          <w:sz w:val="24"/>
          <w:szCs w:val="24"/>
          <w:lang w:val="ro-RO"/>
        </w:rPr>
        <w:t>tă</w:t>
      </w:r>
      <w:r w:rsidR="00E23A42" w:rsidRPr="00815699">
        <w:rPr>
          <w:rFonts w:ascii="Times New Roman" w:hAnsi="Times New Roman" w:cs="Times New Roman"/>
          <w:sz w:val="24"/>
          <w:szCs w:val="24"/>
          <w:lang w:val="ro-RO"/>
        </w:rPr>
        <w:t xml:space="preserve"> exprimarea, de către Comisie, a unor aprecieri fără rezerve a unor institu</w:t>
      </w:r>
      <w:r w:rsidR="001042C2">
        <w:rPr>
          <w:rFonts w:ascii="Times New Roman" w:hAnsi="Times New Roman" w:cs="Times New Roman"/>
          <w:sz w:val="24"/>
          <w:szCs w:val="24"/>
          <w:lang w:val="ro-RO"/>
        </w:rPr>
        <w:t>ț</w:t>
      </w:r>
      <w:r w:rsidR="00E23A42" w:rsidRPr="00815699">
        <w:rPr>
          <w:rFonts w:ascii="Times New Roman" w:hAnsi="Times New Roman" w:cs="Times New Roman"/>
          <w:sz w:val="24"/>
          <w:szCs w:val="24"/>
          <w:lang w:val="ro-RO"/>
        </w:rPr>
        <w:t>ii din sistemul judiciar:</w:t>
      </w:r>
      <w:r w:rsidR="00E23A42" w:rsidRPr="00815699">
        <w:rPr>
          <w:rFonts w:ascii="Times New Roman" w:hAnsi="Times New Roman" w:cs="Times New Roman"/>
          <w:sz w:val="24"/>
          <w:szCs w:val="24"/>
        </w:rPr>
        <w:t xml:space="preserve"> </w:t>
      </w:r>
      <w:r w:rsidR="00E23A42" w:rsidRPr="00815699">
        <w:rPr>
          <w:rFonts w:ascii="Times New Roman" w:hAnsi="Times New Roman" w:cs="Times New Roman"/>
          <w:sz w:val="24"/>
          <w:szCs w:val="24"/>
          <w:lang w:val="ro-RO"/>
        </w:rPr>
        <w:t>„rezultatele obținute de principalele instituții judiciare și de integritate în ceea ce privește combaterea corupției la nivel înalt sunt în continuare impresionante. Sistemul judiciar în ansamblul său a continuat să dea dovadă de profesionalism, inclusiv de capacitate de adaptare la schimbările semnificative ale codurilor civile și penale, de eforturi în vederea unificării jurisprudenței și de voința de a apăra independența sistemului judiciar. România a continuat să facă progrese în direcția îndeplinirii obiectivelor de referință ale MCV”. Cu toate acestea, plecând de la unele critici fa</w:t>
      </w:r>
      <w:r w:rsidR="001042C2">
        <w:rPr>
          <w:rFonts w:ascii="Times New Roman" w:hAnsi="Times New Roman" w:cs="Times New Roman"/>
          <w:sz w:val="24"/>
          <w:szCs w:val="24"/>
          <w:lang w:val="ro-RO"/>
        </w:rPr>
        <w:t>ț</w:t>
      </w:r>
      <w:r w:rsidR="00E23A42" w:rsidRPr="00815699">
        <w:rPr>
          <w:rFonts w:ascii="Times New Roman" w:hAnsi="Times New Roman" w:cs="Times New Roman"/>
          <w:sz w:val="24"/>
          <w:szCs w:val="24"/>
          <w:lang w:val="ro-RO"/>
        </w:rPr>
        <w:t>ă de Parlament, Comisia stabile</w:t>
      </w:r>
      <w:r w:rsidR="001042C2">
        <w:rPr>
          <w:rFonts w:ascii="Times New Roman" w:hAnsi="Times New Roman" w:cs="Times New Roman"/>
          <w:sz w:val="24"/>
          <w:szCs w:val="24"/>
          <w:lang w:val="ro-RO"/>
        </w:rPr>
        <w:t>ș</w:t>
      </w:r>
      <w:r w:rsidR="00E23A42" w:rsidRPr="00815699">
        <w:rPr>
          <w:rFonts w:ascii="Times New Roman" w:hAnsi="Times New Roman" w:cs="Times New Roman"/>
          <w:sz w:val="24"/>
          <w:szCs w:val="24"/>
          <w:lang w:val="ro-RO"/>
        </w:rPr>
        <w:t>te, raportat la cei patru piloni ini</w:t>
      </w:r>
      <w:r w:rsidR="001042C2">
        <w:rPr>
          <w:rFonts w:ascii="Times New Roman" w:hAnsi="Times New Roman" w:cs="Times New Roman"/>
          <w:sz w:val="24"/>
          <w:szCs w:val="24"/>
          <w:lang w:val="ro-RO"/>
        </w:rPr>
        <w:t>ț</w:t>
      </w:r>
      <w:r w:rsidR="00E23A42" w:rsidRPr="00815699">
        <w:rPr>
          <w:rFonts w:ascii="Times New Roman" w:hAnsi="Times New Roman" w:cs="Times New Roman"/>
          <w:sz w:val="24"/>
          <w:szCs w:val="24"/>
          <w:lang w:val="ro-RO"/>
        </w:rPr>
        <w:t>iali pe care întemeiază observaţiile Mecanismului, 1</w:t>
      </w:r>
      <w:r w:rsidR="00D70E29" w:rsidRPr="00815699">
        <w:rPr>
          <w:rFonts w:ascii="Times New Roman" w:hAnsi="Times New Roman" w:cs="Times New Roman"/>
          <w:sz w:val="24"/>
          <w:szCs w:val="24"/>
          <w:lang w:val="ro-RO"/>
        </w:rPr>
        <w:t>5</w:t>
      </w:r>
      <w:r w:rsidR="00E23A42" w:rsidRPr="00815699">
        <w:rPr>
          <w:rFonts w:ascii="Times New Roman" w:hAnsi="Times New Roman" w:cs="Times New Roman"/>
          <w:sz w:val="24"/>
          <w:szCs w:val="24"/>
          <w:lang w:val="ro-RO"/>
        </w:rPr>
        <w:t xml:space="preserve"> recomandări punctuale pentru perioada următoare. Numirea transparentă a procurorilor de rang înalt şi definitivarea legislaţiei penale din cele două coduri sunt printre cele mai importante obiective. Comisia recomandă consultarea Comisiei de la Veneţia</w:t>
      </w:r>
      <w:r w:rsidR="00F43EE7" w:rsidRPr="00815699">
        <w:rPr>
          <w:rFonts w:ascii="Times New Roman" w:hAnsi="Times New Roman" w:cs="Times New Roman"/>
          <w:sz w:val="24"/>
          <w:szCs w:val="24"/>
          <w:lang w:val="ro-RO"/>
        </w:rPr>
        <w:t xml:space="preserve"> în numirile magistraţilor. </w:t>
      </w:r>
    </w:p>
    <w:p w:rsidR="00D70E29" w:rsidRPr="00815699" w:rsidRDefault="00F43EE7" w:rsidP="006266A5">
      <w:pPr>
        <w:spacing w:after="0" w:line="360" w:lineRule="auto"/>
        <w:ind w:firstLine="720"/>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 xml:space="preserve">Dacă în anul 2016 Comisia Europeană sugera că, în momentul în  care România va dovedi că reformele pe care le-a iniţiat şi care au generat progresul remarcat în raport vor deveni perene, se va putea discuta de finalizarea monitorizării, la 10 ani de la instituirea MCV, în raportul din </w:t>
      </w:r>
      <w:r w:rsidR="00D70E29" w:rsidRPr="006266A5">
        <w:rPr>
          <w:rFonts w:ascii="Times New Roman" w:hAnsi="Times New Roman" w:cs="Times New Roman"/>
          <w:b/>
          <w:sz w:val="24"/>
          <w:szCs w:val="24"/>
          <w:lang w:val="ro-RO"/>
        </w:rPr>
        <w:t>ianu</w:t>
      </w:r>
      <w:r w:rsidR="001042C2" w:rsidRPr="006266A5">
        <w:rPr>
          <w:rFonts w:ascii="Times New Roman" w:hAnsi="Times New Roman" w:cs="Times New Roman"/>
          <w:b/>
          <w:sz w:val="24"/>
          <w:szCs w:val="24"/>
          <w:lang w:val="ro-RO"/>
        </w:rPr>
        <w:t>a</w:t>
      </w:r>
      <w:r w:rsidR="00D70E29" w:rsidRPr="006266A5">
        <w:rPr>
          <w:rFonts w:ascii="Times New Roman" w:hAnsi="Times New Roman" w:cs="Times New Roman"/>
          <w:b/>
          <w:sz w:val="24"/>
          <w:szCs w:val="24"/>
          <w:lang w:val="ro-RO"/>
        </w:rPr>
        <w:t>rie</w:t>
      </w:r>
      <w:r w:rsidRPr="006266A5">
        <w:rPr>
          <w:rFonts w:ascii="Times New Roman" w:hAnsi="Times New Roman" w:cs="Times New Roman"/>
          <w:b/>
          <w:sz w:val="24"/>
          <w:szCs w:val="24"/>
          <w:lang w:val="ro-RO"/>
        </w:rPr>
        <w:t xml:space="preserve"> 2017</w:t>
      </w:r>
      <w:r w:rsidRPr="00815699">
        <w:rPr>
          <w:rFonts w:ascii="Times New Roman" w:hAnsi="Times New Roman" w:cs="Times New Roman"/>
          <w:sz w:val="24"/>
          <w:szCs w:val="24"/>
          <w:lang w:val="ro-RO"/>
        </w:rPr>
        <w:t>, de la început</w:t>
      </w:r>
      <w:r w:rsidR="001042C2">
        <w:rPr>
          <w:rFonts w:ascii="Times New Roman" w:hAnsi="Times New Roman" w:cs="Times New Roman"/>
          <w:sz w:val="24"/>
          <w:szCs w:val="24"/>
          <w:lang w:val="ro-RO"/>
        </w:rPr>
        <w:t>,</w:t>
      </w:r>
      <w:r w:rsidRPr="00815699">
        <w:rPr>
          <w:rFonts w:ascii="Times New Roman" w:hAnsi="Times New Roman" w:cs="Times New Roman"/>
          <w:sz w:val="24"/>
          <w:szCs w:val="24"/>
          <w:lang w:val="ro-RO"/>
        </w:rPr>
        <w:t xml:space="preserve"> Comisia îşi arată îngrijorarea faţă de tendinţele noului Executiv de a modifica legislaţia penală şi procesual</w:t>
      </w:r>
      <w:r w:rsidR="001042C2">
        <w:rPr>
          <w:rFonts w:ascii="Times New Roman" w:hAnsi="Times New Roman" w:cs="Times New Roman"/>
          <w:sz w:val="24"/>
          <w:szCs w:val="24"/>
          <w:lang w:val="ro-RO"/>
        </w:rPr>
        <w:t>-</w:t>
      </w:r>
      <w:r w:rsidRPr="00815699">
        <w:rPr>
          <w:rFonts w:ascii="Times New Roman" w:hAnsi="Times New Roman" w:cs="Times New Roman"/>
          <w:sz w:val="24"/>
          <w:szCs w:val="24"/>
          <w:lang w:val="ro-RO"/>
        </w:rPr>
        <w:t>penală într</w:t>
      </w:r>
      <w:r w:rsidR="0038459D" w:rsidRPr="00815699">
        <w:rPr>
          <w:rFonts w:ascii="Times New Roman" w:hAnsi="Times New Roman" w:cs="Times New Roman"/>
          <w:sz w:val="24"/>
          <w:szCs w:val="24"/>
          <w:lang w:val="ro-RO"/>
        </w:rPr>
        <w:t>-</w:t>
      </w:r>
      <w:r w:rsidRPr="00815699">
        <w:rPr>
          <w:rFonts w:ascii="Times New Roman" w:hAnsi="Times New Roman" w:cs="Times New Roman"/>
          <w:sz w:val="24"/>
          <w:szCs w:val="24"/>
          <w:lang w:val="ro-RO"/>
        </w:rPr>
        <w:t>o manieră care contra</w:t>
      </w:r>
      <w:r w:rsidR="001042C2">
        <w:rPr>
          <w:rFonts w:ascii="Times New Roman" w:hAnsi="Times New Roman" w:cs="Times New Roman"/>
          <w:sz w:val="24"/>
          <w:szCs w:val="24"/>
          <w:lang w:val="ro-RO"/>
        </w:rPr>
        <w:t>z</w:t>
      </w:r>
      <w:r w:rsidRPr="00815699">
        <w:rPr>
          <w:rFonts w:ascii="Times New Roman" w:hAnsi="Times New Roman" w:cs="Times New Roman"/>
          <w:sz w:val="24"/>
          <w:szCs w:val="24"/>
          <w:lang w:val="ro-RO"/>
        </w:rPr>
        <w:t xml:space="preserve">icea tendinţele de până la acel moment. </w:t>
      </w:r>
      <w:r w:rsidR="0038459D" w:rsidRPr="00815699">
        <w:rPr>
          <w:rFonts w:ascii="Times New Roman" w:hAnsi="Times New Roman" w:cs="Times New Roman"/>
          <w:sz w:val="24"/>
          <w:szCs w:val="24"/>
          <w:lang w:val="ro-RO"/>
        </w:rPr>
        <w:t>„Au fost introduse alte propuneri problematice și necoordonate, și, deși multe nu înregistrează niciodată progrese în cadrul procesului parlamentar, faptul că acestea rămân pe agenda discuțiilor parlamentare introduce un grad important de incertitudine: printre exemplele în acest sens se numără Legea privind grațierea sau cea privind răspunderea magistraților”. De asemenea,</w:t>
      </w:r>
      <w:r w:rsidR="001042C2">
        <w:rPr>
          <w:rFonts w:ascii="Times New Roman" w:hAnsi="Times New Roman" w:cs="Times New Roman"/>
          <w:sz w:val="24"/>
          <w:szCs w:val="24"/>
          <w:lang w:val="ro-RO"/>
        </w:rPr>
        <w:t xml:space="preserve"> </w:t>
      </w:r>
      <w:r w:rsidR="0038459D" w:rsidRPr="00815699">
        <w:rPr>
          <w:rFonts w:ascii="Times New Roman" w:hAnsi="Times New Roman" w:cs="Times New Roman"/>
          <w:sz w:val="24"/>
          <w:szCs w:val="24"/>
          <w:lang w:val="ro-RO"/>
        </w:rPr>
        <w:t>Mecanismul insistă pentru parcurgerea pa</w:t>
      </w:r>
      <w:r w:rsidR="001042C2">
        <w:rPr>
          <w:rFonts w:ascii="Times New Roman" w:hAnsi="Times New Roman" w:cs="Times New Roman"/>
          <w:sz w:val="24"/>
          <w:szCs w:val="24"/>
          <w:lang w:val="ro-RO"/>
        </w:rPr>
        <w:t>ș</w:t>
      </w:r>
      <w:r w:rsidR="0038459D" w:rsidRPr="00815699">
        <w:rPr>
          <w:rFonts w:ascii="Times New Roman" w:hAnsi="Times New Roman" w:cs="Times New Roman"/>
          <w:sz w:val="24"/>
          <w:szCs w:val="24"/>
          <w:lang w:val="ro-RO"/>
        </w:rPr>
        <w:t xml:space="preserve">ilor Strategiei de dezvoltare </w:t>
      </w:r>
      <w:r w:rsidR="007C472B" w:rsidRPr="00815699">
        <w:rPr>
          <w:rFonts w:ascii="Times New Roman" w:hAnsi="Times New Roman" w:cs="Times New Roman"/>
          <w:sz w:val="24"/>
          <w:szCs w:val="24"/>
          <w:lang w:val="ro-RO"/>
        </w:rPr>
        <w:t xml:space="preserve">în ciuda angajamentului asumat de Guvern de a încerca finalizarea MCV cât mai curând posibil, progresele referitoare la abordarea recomandărilor MCV din ianuarie 2017 </w:t>
      </w:r>
      <w:r w:rsidR="007C472B" w:rsidRPr="00A30D53">
        <w:rPr>
          <w:rFonts w:ascii="Times New Roman" w:hAnsi="Times New Roman" w:cs="Times New Roman"/>
          <w:sz w:val="24"/>
          <w:szCs w:val="24"/>
          <w:lang w:val="ro-RO"/>
        </w:rPr>
        <w:t>au fost</w:t>
      </w:r>
      <w:r w:rsidR="001042C2" w:rsidRPr="001042C2">
        <w:rPr>
          <w:rFonts w:ascii="Times New Roman" w:hAnsi="Times New Roman" w:cs="Times New Roman"/>
          <w:sz w:val="24"/>
          <w:szCs w:val="24"/>
          <w:lang w:val="ro-RO"/>
        </w:rPr>
        <w:t xml:space="preserve"> </w:t>
      </w:r>
      <w:r w:rsidR="007C472B" w:rsidRPr="001042C2">
        <w:rPr>
          <w:rFonts w:ascii="Times New Roman" w:hAnsi="Times New Roman" w:cs="Times New Roman"/>
          <w:sz w:val="24"/>
          <w:szCs w:val="24"/>
          <w:lang w:val="ro-RO"/>
        </w:rPr>
        <w:t>afectate</w:t>
      </w:r>
      <w:r w:rsidR="001042C2">
        <w:rPr>
          <w:rFonts w:ascii="Times New Roman" w:hAnsi="Times New Roman" w:cs="Times New Roman"/>
          <w:sz w:val="24"/>
          <w:szCs w:val="24"/>
          <w:lang w:val="ro-RO"/>
        </w:rPr>
        <w:t xml:space="preserve"> </w:t>
      </w:r>
      <w:r w:rsidR="007C472B" w:rsidRPr="00815699">
        <w:rPr>
          <w:rFonts w:ascii="Times New Roman" w:hAnsi="Times New Roman" w:cs="Times New Roman"/>
          <w:sz w:val="24"/>
          <w:szCs w:val="24"/>
          <w:lang w:val="ro-RO"/>
        </w:rPr>
        <w:t xml:space="preserve">de situația politică. </w:t>
      </w:r>
      <w:r w:rsidR="007C472B" w:rsidRPr="00A30D53">
        <w:rPr>
          <w:rFonts w:ascii="Times New Roman" w:hAnsi="Times New Roman" w:cs="Times New Roman"/>
          <w:sz w:val="24"/>
          <w:szCs w:val="24"/>
          <w:lang w:val="ro-RO"/>
        </w:rPr>
        <w:t xml:space="preserve">Într-o perioadă de nouă luni de la raportul din ianuarie 2017, în România s-au succedat două </w:t>
      </w:r>
      <w:r w:rsidR="007C472B" w:rsidRPr="00A30D53">
        <w:rPr>
          <w:rFonts w:ascii="Times New Roman" w:hAnsi="Times New Roman" w:cs="Times New Roman"/>
          <w:sz w:val="24"/>
          <w:szCs w:val="24"/>
          <w:lang w:val="ro-RO"/>
        </w:rPr>
        <w:lastRenderedPageBreak/>
        <w:t>guverne, în timp ce tensiunile crescânde dintre puterile statului (Parlament, Guvern și sistemul judiciar) au îngreunat tot mai mult cooperarea dintre acestea</w:t>
      </w:r>
      <w:r w:rsidR="00D70E29" w:rsidRPr="00A30D53">
        <w:rPr>
          <w:rFonts w:ascii="Times New Roman" w:hAnsi="Times New Roman" w:cs="Times New Roman"/>
          <w:sz w:val="24"/>
          <w:szCs w:val="24"/>
          <w:lang w:val="ro-RO"/>
        </w:rPr>
        <w:t>.</w:t>
      </w:r>
    </w:p>
    <w:p w:rsidR="00A30D53" w:rsidRDefault="0038459D" w:rsidP="006266A5">
      <w:pPr>
        <w:spacing w:after="0" w:line="360" w:lineRule="auto"/>
        <w:ind w:firstLine="720"/>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 xml:space="preserve">Mult mai dur în exprimări </w:t>
      </w:r>
      <w:r w:rsidR="001042C2" w:rsidRPr="00A30D53">
        <w:rPr>
          <w:rFonts w:ascii="Times New Roman" w:hAnsi="Times New Roman" w:cs="Times New Roman"/>
          <w:sz w:val="24"/>
          <w:szCs w:val="24"/>
          <w:lang w:val="ro-RO"/>
        </w:rPr>
        <w:t>decât în</w:t>
      </w:r>
      <w:r w:rsidRPr="00815699">
        <w:rPr>
          <w:rFonts w:ascii="Times New Roman" w:hAnsi="Times New Roman" w:cs="Times New Roman"/>
          <w:sz w:val="24"/>
          <w:szCs w:val="24"/>
          <w:lang w:val="ro-RO"/>
        </w:rPr>
        <w:t xml:space="preserve"> ultimii 2-3 ani, Mecanismul subliniază necesitatea menţinerii măsurilor care au fost deja implementate şi continuarea cu cele cuprinse în recomandări. </w:t>
      </w:r>
      <w:r w:rsidR="00D70E29" w:rsidRPr="00815699">
        <w:rPr>
          <w:rFonts w:ascii="Times New Roman" w:hAnsi="Times New Roman" w:cs="Times New Roman"/>
          <w:sz w:val="24"/>
          <w:szCs w:val="24"/>
          <w:lang w:val="ro-RO"/>
        </w:rPr>
        <w:t>În acest sens, în vederea ridicării Mecanismului de Cooperare şi Verificare, Comisia instituie 12 recomandări necesar a fi duse la îndeplinire, cele mai multe fiind bazate pe  cele 15 recomandări din anul anterior şi</w:t>
      </w:r>
      <w:r w:rsidR="00D70E29" w:rsidRPr="00815699">
        <w:rPr>
          <w:rFonts w:ascii="Times New Roman" w:hAnsi="Times New Roman" w:cs="Times New Roman"/>
          <w:sz w:val="24"/>
          <w:szCs w:val="24"/>
        </w:rPr>
        <w:t xml:space="preserve"> </w:t>
      </w:r>
      <w:r w:rsidR="00D70E29" w:rsidRPr="00815699">
        <w:rPr>
          <w:rFonts w:ascii="Times New Roman" w:hAnsi="Times New Roman" w:cs="Times New Roman"/>
          <w:sz w:val="24"/>
          <w:szCs w:val="24"/>
          <w:lang w:val="ro-RO"/>
        </w:rPr>
        <w:t xml:space="preserve">raportate la cele 4 benchmark-uri iniţiale. </w:t>
      </w:r>
      <w:r w:rsidR="007C472B" w:rsidRPr="00815699">
        <w:rPr>
          <w:rFonts w:ascii="Times New Roman" w:hAnsi="Times New Roman" w:cs="Times New Roman"/>
          <w:sz w:val="24"/>
          <w:szCs w:val="24"/>
          <w:lang w:val="ro-RO"/>
        </w:rPr>
        <w:t>De altfel, anul 2017 aduce pentru prima data şi un al doilea raport (cel din noiembrie)</w:t>
      </w:r>
      <w:r w:rsidR="004B377B">
        <w:rPr>
          <w:rFonts w:ascii="Times New Roman" w:hAnsi="Times New Roman" w:cs="Times New Roman"/>
          <w:sz w:val="24"/>
          <w:szCs w:val="24"/>
          <w:lang w:val="ro-RO"/>
        </w:rPr>
        <w:t xml:space="preserve"> </w:t>
      </w:r>
      <w:r w:rsidR="007C472B" w:rsidRPr="00815699">
        <w:rPr>
          <w:rFonts w:ascii="Times New Roman" w:hAnsi="Times New Roman" w:cs="Times New Roman"/>
          <w:sz w:val="24"/>
          <w:szCs w:val="24"/>
          <w:lang w:val="ro-RO"/>
        </w:rPr>
        <w:t>care se constituie în cel mai critic raport din întreaga perioadă de monitorizare:</w:t>
      </w:r>
      <w:r w:rsidR="004B377B">
        <w:rPr>
          <w:rFonts w:ascii="Times New Roman" w:hAnsi="Times New Roman" w:cs="Times New Roman"/>
          <w:sz w:val="24"/>
          <w:szCs w:val="24"/>
          <w:lang w:val="ro-RO"/>
        </w:rPr>
        <w:t xml:space="preserve"> </w:t>
      </w:r>
      <w:r w:rsidR="007C472B" w:rsidRPr="00815699">
        <w:rPr>
          <w:rFonts w:ascii="Times New Roman" w:hAnsi="Times New Roman" w:cs="Times New Roman"/>
          <w:sz w:val="24"/>
          <w:szCs w:val="24"/>
          <w:lang w:val="ro-RO"/>
        </w:rPr>
        <w:t>”în ciuda angajamentului asumat de Guvern de a încerca finalizarea MCV cât mai curând posibil, progresele referitoare la abordarea recomandărilor MCV din ianuarie 2017 au fost afectate de situația politică</w:t>
      </w:r>
      <w:r w:rsidR="00A30D53">
        <w:rPr>
          <w:rFonts w:ascii="Times New Roman" w:hAnsi="Times New Roman" w:cs="Times New Roman"/>
          <w:sz w:val="24"/>
          <w:szCs w:val="24"/>
          <w:lang w:val="ro-RO"/>
        </w:rPr>
        <w:t>.</w:t>
      </w:r>
    </w:p>
    <w:p w:rsidR="00927F72" w:rsidRPr="00815699" w:rsidRDefault="00D70E29" w:rsidP="006266A5">
      <w:pPr>
        <w:spacing w:after="0" w:line="360" w:lineRule="auto"/>
        <w:ind w:firstLine="720"/>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 xml:space="preserve">În raportul din anul </w:t>
      </w:r>
      <w:r w:rsidRPr="006266A5">
        <w:rPr>
          <w:rFonts w:ascii="Times New Roman" w:hAnsi="Times New Roman" w:cs="Times New Roman"/>
          <w:b/>
          <w:sz w:val="24"/>
          <w:szCs w:val="24"/>
          <w:lang w:val="ro-RO"/>
        </w:rPr>
        <w:t>2018</w:t>
      </w:r>
      <w:r w:rsidRPr="00815699">
        <w:rPr>
          <w:rFonts w:ascii="Times New Roman" w:hAnsi="Times New Roman" w:cs="Times New Roman"/>
          <w:sz w:val="24"/>
          <w:szCs w:val="24"/>
          <w:lang w:val="ro-RO"/>
        </w:rPr>
        <w:t>, de asemenea din luna noiembrie, Comisia men</w:t>
      </w:r>
      <w:r w:rsidR="004B377B">
        <w:rPr>
          <w:rFonts w:ascii="Times New Roman" w:hAnsi="Times New Roman" w:cs="Times New Roman"/>
          <w:sz w:val="24"/>
          <w:szCs w:val="24"/>
          <w:lang w:val="ro-RO"/>
        </w:rPr>
        <w:t>ț</w:t>
      </w:r>
      <w:r w:rsidRPr="00815699">
        <w:rPr>
          <w:rFonts w:ascii="Times New Roman" w:hAnsi="Times New Roman" w:cs="Times New Roman"/>
          <w:sz w:val="24"/>
          <w:szCs w:val="24"/>
          <w:lang w:val="ro-RO"/>
        </w:rPr>
        <w:t>ine cele 12 recomandări în exact aceea</w:t>
      </w:r>
      <w:r w:rsidR="004B377B">
        <w:rPr>
          <w:rFonts w:ascii="Times New Roman" w:hAnsi="Times New Roman" w:cs="Times New Roman"/>
          <w:sz w:val="24"/>
          <w:szCs w:val="24"/>
          <w:lang w:val="ro-RO"/>
        </w:rPr>
        <w:t>ș</w:t>
      </w:r>
      <w:r w:rsidRPr="00815699">
        <w:rPr>
          <w:rFonts w:ascii="Times New Roman" w:hAnsi="Times New Roman" w:cs="Times New Roman"/>
          <w:sz w:val="24"/>
          <w:szCs w:val="24"/>
          <w:lang w:val="ro-RO"/>
        </w:rPr>
        <w:t xml:space="preserve">i formă, </w:t>
      </w:r>
      <w:r w:rsidR="00927F72" w:rsidRPr="00815699">
        <w:rPr>
          <w:rFonts w:ascii="Times New Roman" w:hAnsi="Times New Roman" w:cs="Times New Roman"/>
          <w:sz w:val="24"/>
          <w:szCs w:val="24"/>
          <w:lang w:val="ro-RO"/>
        </w:rPr>
        <w:t>exprimând în acela</w:t>
      </w:r>
      <w:r w:rsidR="004B377B">
        <w:rPr>
          <w:rFonts w:ascii="Times New Roman" w:hAnsi="Times New Roman" w:cs="Times New Roman"/>
          <w:sz w:val="24"/>
          <w:szCs w:val="24"/>
          <w:lang w:val="ro-RO"/>
        </w:rPr>
        <w:t>ș</w:t>
      </w:r>
      <w:r w:rsidR="00927F72" w:rsidRPr="00815699">
        <w:rPr>
          <w:rFonts w:ascii="Times New Roman" w:hAnsi="Times New Roman" w:cs="Times New Roman"/>
          <w:sz w:val="24"/>
          <w:szCs w:val="24"/>
          <w:lang w:val="ro-RO"/>
        </w:rPr>
        <w:t>i timp îndoieli referitoare la modificările legilor justi</w:t>
      </w:r>
      <w:r w:rsidR="004B377B">
        <w:rPr>
          <w:rFonts w:ascii="Times New Roman" w:hAnsi="Times New Roman" w:cs="Times New Roman"/>
          <w:sz w:val="24"/>
          <w:szCs w:val="24"/>
          <w:lang w:val="ro-RO"/>
        </w:rPr>
        <w:t>ț</w:t>
      </w:r>
      <w:r w:rsidR="00927F72" w:rsidRPr="00815699">
        <w:rPr>
          <w:rFonts w:ascii="Times New Roman" w:hAnsi="Times New Roman" w:cs="Times New Roman"/>
          <w:sz w:val="24"/>
          <w:szCs w:val="24"/>
          <w:lang w:val="ro-RO"/>
        </w:rPr>
        <w:t xml:space="preserve">iei fără avizul Consiliului Superior al Magistraturii </w:t>
      </w:r>
      <w:r w:rsidR="004B377B">
        <w:rPr>
          <w:rFonts w:ascii="Times New Roman" w:hAnsi="Times New Roman" w:cs="Times New Roman"/>
          <w:sz w:val="24"/>
          <w:szCs w:val="24"/>
          <w:lang w:val="ro-RO"/>
        </w:rPr>
        <w:t>ș</w:t>
      </w:r>
      <w:r w:rsidR="00927F72" w:rsidRPr="00815699">
        <w:rPr>
          <w:rFonts w:ascii="Times New Roman" w:hAnsi="Times New Roman" w:cs="Times New Roman"/>
          <w:sz w:val="24"/>
          <w:szCs w:val="24"/>
          <w:lang w:val="ro-RO"/>
        </w:rPr>
        <w:t>i la preconizatele modificări prin ordonan</w:t>
      </w:r>
      <w:r w:rsidR="004B377B">
        <w:rPr>
          <w:rFonts w:ascii="Times New Roman" w:hAnsi="Times New Roman" w:cs="Times New Roman"/>
          <w:sz w:val="24"/>
          <w:szCs w:val="24"/>
          <w:lang w:val="ro-RO"/>
        </w:rPr>
        <w:t>ț</w:t>
      </w:r>
      <w:r w:rsidR="00927F72" w:rsidRPr="00815699">
        <w:rPr>
          <w:rFonts w:ascii="Times New Roman" w:hAnsi="Times New Roman" w:cs="Times New Roman"/>
          <w:sz w:val="24"/>
          <w:szCs w:val="24"/>
          <w:lang w:val="ro-RO"/>
        </w:rPr>
        <w:t>e de urgen</w:t>
      </w:r>
      <w:r w:rsidR="004B377B">
        <w:rPr>
          <w:rFonts w:ascii="Times New Roman" w:hAnsi="Times New Roman" w:cs="Times New Roman"/>
          <w:sz w:val="24"/>
          <w:szCs w:val="24"/>
          <w:lang w:val="ro-RO"/>
        </w:rPr>
        <w:t>ț</w:t>
      </w:r>
      <w:r w:rsidR="00927F72" w:rsidRPr="00815699">
        <w:rPr>
          <w:rFonts w:ascii="Times New Roman" w:hAnsi="Times New Roman" w:cs="Times New Roman"/>
          <w:sz w:val="24"/>
          <w:szCs w:val="24"/>
          <w:lang w:val="ro-RO"/>
        </w:rPr>
        <w:t>ă a celor două coduri. În concluziile raportului, Comisia recomandă suspendare noilor modificări legislative şi relansarea de consultări pe acestea inclusiv cu instituţii abilitate din Europa precum Comisia de la Veneţia şi GRECO.</w:t>
      </w:r>
    </w:p>
    <w:p w:rsidR="00516863" w:rsidRDefault="00927F72" w:rsidP="00516863">
      <w:pPr>
        <w:tabs>
          <w:tab w:val="left" w:pos="1620"/>
        </w:tabs>
        <w:spacing w:line="360" w:lineRule="auto"/>
        <w:jc w:val="both"/>
        <w:rPr>
          <w:rFonts w:ascii="Times New Roman" w:hAnsi="Times New Roman" w:cs="Times New Roman"/>
          <w:b/>
          <w:sz w:val="24"/>
          <w:szCs w:val="24"/>
          <w:u w:val="single"/>
          <w:lang w:val="ro-RO"/>
        </w:rPr>
      </w:pPr>
      <w:r w:rsidRPr="00815699">
        <w:rPr>
          <w:rFonts w:ascii="Times New Roman" w:hAnsi="Times New Roman" w:cs="Times New Roman"/>
          <w:sz w:val="24"/>
          <w:szCs w:val="24"/>
          <w:lang w:val="ro-RO"/>
        </w:rPr>
        <w:tab/>
      </w:r>
      <w:r w:rsidRPr="00815699">
        <w:rPr>
          <w:rFonts w:ascii="Times New Roman" w:hAnsi="Times New Roman" w:cs="Times New Roman"/>
          <w:b/>
          <w:sz w:val="24"/>
          <w:szCs w:val="24"/>
          <w:u w:val="single"/>
          <w:lang w:val="ro-RO"/>
        </w:rPr>
        <w:t>C. Strategii naţionale de dezvoltare post-instituire a Mecanismului de Cooperare şi Verificare</w:t>
      </w:r>
    </w:p>
    <w:p w:rsidR="00927F72" w:rsidRDefault="00501B06" w:rsidP="00516863">
      <w:pPr>
        <w:tabs>
          <w:tab w:val="left" w:pos="1620"/>
        </w:tabs>
        <w:spacing w:line="360" w:lineRule="auto"/>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ab/>
      </w:r>
      <w:r w:rsidRPr="00A70C96">
        <w:rPr>
          <w:rFonts w:ascii="Times New Roman" w:hAnsi="Times New Roman" w:cs="Times New Roman"/>
          <w:b/>
          <w:sz w:val="24"/>
          <w:szCs w:val="24"/>
          <w:lang w:val="ro-RO"/>
        </w:rPr>
        <w:t>1</w:t>
      </w:r>
      <w:r w:rsidRPr="00815699">
        <w:rPr>
          <w:rFonts w:ascii="Times New Roman" w:hAnsi="Times New Roman" w:cs="Times New Roman"/>
          <w:sz w:val="24"/>
          <w:szCs w:val="24"/>
          <w:lang w:val="ro-RO"/>
        </w:rPr>
        <w:t xml:space="preserve">. </w:t>
      </w:r>
      <w:r w:rsidR="00927F72" w:rsidRPr="006266A5">
        <w:rPr>
          <w:rFonts w:ascii="Times New Roman" w:hAnsi="Times New Roman" w:cs="Times New Roman"/>
          <w:b/>
          <w:sz w:val="24"/>
          <w:szCs w:val="24"/>
          <w:lang w:val="ro-RO"/>
        </w:rPr>
        <w:t>Strategia de dezvoltare a sistemului judiciar 2015-2020</w:t>
      </w:r>
      <w:r w:rsidR="00927F72" w:rsidRPr="00815699">
        <w:rPr>
          <w:rFonts w:ascii="Times New Roman" w:hAnsi="Times New Roman" w:cs="Times New Roman"/>
          <w:sz w:val="24"/>
          <w:szCs w:val="24"/>
          <w:lang w:val="ro-RO"/>
        </w:rPr>
        <w:t>, prezentată de Ministerul Justiției, a fost aprobată de Guvern la 23 decembrie 2014. Acest document se bazează în mare măsură pe recomandările din raportul MCV, precum și pe studii elaborate în colaborare cu Banca Mondială, în special studiul Functional Analysis of the Romanian judiciary („Analiza</w:t>
      </w:r>
      <w:r w:rsidR="00360D4C" w:rsidRPr="00815699">
        <w:rPr>
          <w:rFonts w:ascii="Times New Roman" w:hAnsi="Times New Roman" w:cs="Times New Roman"/>
          <w:sz w:val="24"/>
          <w:szCs w:val="24"/>
          <w:lang w:val="ro-RO"/>
        </w:rPr>
        <w:t xml:space="preserve"> </w:t>
      </w:r>
      <w:r w:rsidR="00927F72" w:rsidRPr="00815699">
        <w:rPr>
          <w:rFonts w:ascii="Times New Roman" w:hAnsi="Times New Roman" w:cs="Times New Roman"/>
          <w:sz w:val="24"/>
          <w:szCs w:val="24"/>
          <w:lang w:val="ro-RO"/>
        </w:rPr>
        <w:t>funcțională a sistemului judiciar românesc”)</w:t>
      </w:r>
      <w:r w:rsidR="00360D4C" w:rsidRPr="00815699">
        <w:rPr>
          <w:rFonts w:ascii="Times New Roman" w:hAnsi="Times New Roman" w:cs="Times New Roman"/>
          <w:sz w:val="24"/>
          <w:szCs w:val="24"/>
          <w:lang w:val="ro-RO"/>
        </w:rPr>
        <w:t xml:space="preserve">. </w:t>
      </w:r>
      <w:r w:rsidR="00927F72" w:rsidRPr="00815699">
        <w:rPr>
          <w:rFonts w:ascii="Times New Roman" w:hAnsi="Times New Roman" w:cs="Times New Roman"/>
          <w:sz w:val="24"/>
          <w:szCs w:val="24"/>
          <w:lang w:val="ro-RO"/>
        </w:rPr>
        <w:t xml:space="preserve"> Pornind de la o serie de principii</w:t>
      </w:r>
      <w:r w:rsidR="00360D4C" w:rsidRPr="00815699">
        <w:rPr>
          <w:rFonts w:ascii="Times New Roman" w:hAnsi="Times New Roman" w:cs="Times New Roman"/>
          <w:sz w:val="24"/>
          <w:szCs w:val="24"/>
          <w:lang w:val="ro-RO"/>
        </w:rPr>
        <w:t xml:space="preserve"> </w:t>
      </w:r>
      <w:r w:rsidR="00927F72" w:rsidRPr="00815699">
        <w:rPr>
          <w:rFonts w:ascii="Times New Roman" w:hAnsi="Times New Roman" w:cs="Times New Roman"/>
          <w:sz w:val="24"/>
          <w:szCs w:val="24"/>
          <w:lang w:val="ro-RO"/>
        </w:rPr>
        <w:t>fundamentale bazate pe statul de drept, strategia definește obiectivele pentru continuarea</w:t>
      </w:r>
      <w:r w:rsidR="00360D4C" w:rsidRPr="00815699">
        <w:rPr>
          <w:rFonts w:ascii="Times New Roman" w:hAnsi="Times New Roman" w:cs="Times New Roman"/>
          <w:sz w:val="24"/>
          <w:szCs w:val="24"/>
          <w:lang w:val="ro-RO"/>
        </w:rPr>
        <w:t xml:space="preserve"> </w:t>
      </w:r>
      <w:r w:rsidR="00927F72" w:rsidRPr="00815699">
        <w:rPr>
          <w:rFonts w:ascii="Times New Roman" w:hAnsi="Times New Roman" w:cs="Times New Roman"/>
          <w:sz w:val="24"/>
          <w:szCs w:val="24"/>
          <w:lang w:val="ro-RO"/>
        </w:rPr>
        <w:t>reformelor în perioada 2015-2020, în vederea unei mai mari eficientizări și responsabilizări a</w:t>
      </w:r>
      <w:r w:rsidR="00360D4C" w:rsidRPr="00815699">
        <w:rPr>
          <w:rFonts w:ascii="Times New Roman" w:hAnsi="Times New Roman" w:cs="Times New Roman"/>
          <w:sz w:val="24"/>
          <w:szCs w:val="24"/>
          <w:lang w:val="ro-RO"/>
        </w:rPr>
        <w:t xml:space="preserve"> </w:t>
      </w:r>
      <w:r w:rsidR="00927F72" w:rsidRPr="00815699">
        <w:rPr>
          <w:rFonts w:ascii="Times New Roman" w:hAnsi="Times New Roman" w:cs="Times New Roman"/>
          <w:sz w:val="24"/>
          <w:szCs w:val="24"/>
          <w:lang w:val="ro-RO"/>
        </w:rPr>
        <w:t>sistemului judiciar și a asigurării unei calități mai bune a acestuia. Strategia și planul de</w:t>
      </w:r>
      <w:r w:rsidR="00360D4C" w:rsidRPr="00815699">
        <w:rPr>
          <w:rFonts w:ascii="Times New Roman" w:hAnsi="Times New Roman" w:cs="Times New Roman"/>
          <w:sz w:val="24"/>
          <w:szCs w:val="24"/>
          <w:lang w:val="ro-RO"/>
        </w:rPr>
        <w:t xml:space="preserve"> </w:t>
      </w:r>
      <w:r w:rsidR="00927F72" w:rsidRPr="00815699">
        <w:rPr>
          <w:rFonts w:ascii="Times New Roman" w:hAnsi="Times New Roman" w:cs="Times New Roman"/>
          <w:sz w:val="24"/>
          <w:szCs w:val="24"/>
          <w:lang w:val="ro-RO"/>
        </w:rPr>
        <w:t xml:space="preserve">acțiune aferent acesteia </w:t>
      </w:r>
      <w:r w:rsidR="00360D4C" w:rsidRPr="00815699">
        <w:rPr>
          <w:rFonts w:ascii="Times New Roman" w:hAnsi="Times New Roman" w:cs="Times New Roman"/>
          <w:sz w:val="24"/>
          <w:szCs w:val="24"/>
          <w:lang w:val="ro-RO"/>
        </w:rPr>
        <w:t>stau</w:t>
      </w:r>
      <w:r w:rsidR="00927F72" w:rsidRPr="00815699">
        <w:rPr>
          <w:rFonts w:ascii="Times New Roman" w:hAnsi="Times New Roman" w:cs="Times New Roman"/>
          <w:sz w:val="24"/>
          <w:szCs w:val="24"/>
          <w:lang w:val="ro-RO"/>
        </w:rPr>
        <w:t xml:space="preserve"> la baza definirii priorităților de</w:t>
      </w:r>
      <w:r w:rsidR="00360D4C" w:rsidRPr="00815699">
        <w:rPr>
          <w:rFonts w:ascii="Times New Roman" w:hAnsi="Times New Roman" w:cs="Times New Roman"/>
          <w:sz w:val="24"/>
          <w:szCs w:val="24"/>
          <w:lang w:val="ro-RO"/>
        </w:rPr>
        <w:t xml:space="preserve"> </w:t>
      </w:r>
      <w:r w:rsidR="00927F72" w:rsidRPr="00815699">
        <w:rPr>
          <w:rFonts w:ascii="Times New Roman" w:hAnsi="Times New Roman" w:cs="Times New Roman"/>
          <w:sz w:val="24"/>
          <w:szCs w:val="24"/>
          <w:lang w:val="ro-RO"/>
        </w:rPr>
        <w:t>finanțare ale UE în domeniul justiției. Procesul de aprobare a documentului a fost lent, un</w:t>
      </w:r>
      <w:r w:rsidR="00360D4C" w:rsidRPr="00815699">
        <w:rPr>
          <w:rFonts w:ascii="Times New Roman" w:hAnsi="Times New Roman" w:cs="Times New Roman"/>
          <w:sz w:val="24"/>
          <w:szCs w:val="24"/>
          <w:lang w:val="ro-RO"/>
        </w:rPr>
        <w:t xml:space="preserve"> </w:t>
      </w:r>
      <w:r w:rsidR="00927F72" w:rsidRPr="00815699">
        <w:rPr>
          <w:rFonts w:ascii="Times New Roman" w:hAnsi="Times New Roman" w:cs="Times New Roman"/>
          <w:sz w:val="24"/>
          <w:szCs w:val="24"/>
          <w:lang w:val="ro-RO"/>
        </w:rPr>
        <w:t>prim proiect fiind deja finalizat în luna septembrie 2013. Consultările au avut loc în toamn</w:t>
      </w:r>
      <w:r w:rsidR="00360D4C" w:rsidRPr="00815699">
        <w:rPr>
          <w:rFonts w:ascii="Times New Roman" w:hAnsi="Times New Roman" w:cs="Times New Roman"/>
          <w:sz w:val="24"/>
          <w:szCs w:val="24"/>
          <w:lang w:val="ro-RO"/>
        </w:rPr>
        <w:t>a anului 2014</w:t>
      </w:r>
      <w:r w:rsidR="00927F72" w:rsidRPr="00815699">
        <w:rPr>
          <w:rFonts w:ascii="Times New Roman" w:hAnsi="Times New Roman" w:cs="Times New Roman"/>
          <w:sz w:val="24"/>
          <w:szCs w:val="24"/>
          <w:lang w:val="ro-RO"/>
        </w:rPr>
        <w:t>,</w:t>
      </w:r>
      <w:r w:rsidR="00360D4C" w:rsidRPr="00815699">
        <w:rPr>
          <w:rFonts w:ascii="Times New Roman" w:hAnsi="Times New Roman" w:cs="Times New Roman"/>
          <w:sz w:val="24"/>
          <w:szCs w:val="24"/>
          <w:lang w:val="ro-RO"/>
        </w:rPr>
        <w:t xml:space="preserve"> </w:t>
      </w:r>
      <w:r w:rsidR="00927F72" w:rsidRPr="00815699">
        <w:rPr>
          <w:rFonts w:ascii="Times New Roman" w:hAnsi="Times New Roman" w:cs="Times New Roman"/>
          <w:sz w:val="24"/>
          <w:szCs w:val="24"/>
          <w:lang w:val="ro-RO"/>
        </w:rPr>
        <w:t xml:space="preserve">strategia și planul de acțiune aferent acesteia </w:t>
      </w:r>
      <w:r w:rsidR="00360D4C" w:rsidRPr="00815699">
        <w:rPr>
          <w:rFonts w:ascii="Times New Roman" w:hAnsi="Times New Roman" w:cs="Times New Roman"/>
          <w:sz w:val="24"/>
          <w:szCs w:val="24"/>
          <w:lang w:val="ro-RO"/>
        </w:rPr>
        <w:t xml:space="preserve">fiind </w:t>
      </w:r>
      <w:r w:rsidR="00927F72" w:rsidRPr="00815699">
        <w:rPr>
          <w:rFonts w:ascii="Times New Roman" w:hAnsi="Times New Roman" w:cs="Times New Roman"/>
          <w:sz w:val="24"/>
          <w:szCs w:val="24"/>
          <w:lang w:val="ro-RO"/>
        </w:rPr>
        <w:t xml:space="preserve">finalizate </w:t>
      </w:r>
      <w:r w:rsidR="00360D4C" w:rsidRPr="00815699">
        <w:rPr>
          <w:rFonts w:ascii="Times New Roman" w:hAnsi="Times New Roman" w:cs="Times New Roman"/>
          <w:sz w:val="24"/>
          <w:szCs w:val="24"/>
          <w:lang w:val="ro-RO"/>
        </w:rPr>
        <w:t>în anul</w:t>
      </w:r>
      <w:r w:rsidR="00927F72" w:rsidRPr="00815699">
        <w:rPr>
          <w:rFonts w:ascii="Times New Roman" w:hAnsi="Times New Roman" w:cs="Times New Roman"/>
          <w:sz w:val="24"/>
          <w:szCs w:val="24"/>
          <w:lang w:val="ro-RO"/>
        </w:rPr>
        <w:t xml:space="preserve"> 2015.</w:t>
      </w:r>
      <w:r w:rsidR="00360D4C" w:rsidRPr="00815699">
        <w:rPr>
          <w:rFonts w:ascii="Times New Roman" w:hAnsi="Times New Roman" w:cs="Times New Roman"/>
          <w:sz w:val="24"/>
          <w:szCs w:val="24"/>
          <w:lang w:val="ro-RO"/>
        </w:rPr>
        <w:t xml:space="preserve"> </w:t>
      </w:r>
    </w:p>
    <w:p w:rsidR="00501B06" w:rsidRDefault="00DA5278" w:rsidP="006266A5">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Strategia a fost urmată de planul de acțiune, un an mai târziu. Ultima modificare a planului de acțiune a fost adusă la data de 25.03.2019 și se referea inclusiv la alocarea de resurse umane suplimentare pentru Ministarul Public.</w:t>
      </w:r>
    </w:p>
    <w:p w:rsidR="00A70C96" w:rsidRDefault="00A70C96" w:rsidP="006266A5">
      <w:pPr>
        <w:spacing w:after="0" w:line="360" w:lineRule="auto"/>
        <w:jc w:val="both"/>
        <w:rPr>
          <w:rFonts w:ascii="Times New Roman" w:hAnsi="Times New Roman" w:cs="Times New Roman"/>
          <w:sz w:val="24"/>
          <w:szCs w:val="24"/>
          <w:lang w:val="ro-RO"/>
        </w:rPr>
      </w:pPr>
    </w:p>
    <w:p w:rsidR="00501B06" w:rsidRPr="00815699" w:rsidRDefault="00501B06" w:rsidP="006266A5">
      <w:pPr>
        <w:spacing w:after="0" w:line="360" w:lineRule="auto"/>
        <w:jc w:val="both"/>
        <w:rPr>
          <w:rFonts w:ascii="Times New Roman" w:eastAsia="Times New Roman" w:hAnsi="Times New Roman" w:cs="Times New Roman"/>
          <w:color w:val="444444"/>
          <w:sz w:val="24"/>
          <w:szCs w:val="24"/>
          <w:lang w:val="ro-RO"/>
        </w:rPr>
      </w:pPr>
      <w:r w:rsidRPr="00815699">
        <w:rPr>
          <w:rFonts w:ascii="Times New Roman" w:hAnsi="Times New Roman" w:cs="Times New Roman"/>
          <w:sz w:val="24"/>
          <w:szCs w:val="24"/>
          <w:lang w:val="ro-RO"/>
        </w:rPr>
        <w:tab/>
      </w:r>
      <w:r w:rsidRPr="00A70C96">
        <w:rPr>
          <w:rFonts w:ascii="Times New Roman" w:hAnsi="Times New Roman" w:cs="Times New Roman"/>
          <w:b/>
          <w:sz w:val="24"/>
          <w:szCs w:val="24"/>
          <w:lang w:val="ro-RO"/>
        </w:rPr>
        <w:t>2</w:t>
      </w:r>
      <w:r w:rsidRPr="00815699">
        <w:rPr>
          <w:rFonts w:ascii="Times New Roman" w:hAnsi="Times New Roman" w:cs="Times New Roman"/>
          <w:sz w:val="24"/>
          <w:szCs w:val="24"/>
          <w:lang w:val="ro-RO"/>
        </w:rPr>
        <w:t xml:space="preserve">. </w:t>
      </w:r>
      <w:r w:rsidRPr="00815699">
        <w:rPr>
          <w:rFonts w:ascii="Times New Roman" w:eastAsia="Times New Roman" w:hAnsi="Times New Roman" w:cs="Times New Roman"/>
          <w:b/>
          <w:bCs/>
          <w:color w:val="444444"/>
          <w:sz w:val="24"/>
          <w:szCs w:val="24"/>
          <w:bdr w:val="none" w:sz="0" w:space="0" w:color="auto" w:frame="1"/>
          <w:lang w:val="ro-RO"/>
        </w:rPr>
        <w:t>Strategia naţională anticorupţie – SNA 2016–2020,</w:t>
      </w:r>
      <w:r w:rsidRPr="00815699">
        <w:rPr>
          <w:rFonts w:ascii="Times New Roman" w:eastAsia="Times New Roman" w:hAnsi="Times New Roman" w:cs="Times New Roman"/>
          <w:color w:val="444444"/>
          <w:sz w:val="24"/>
          <w:szCs w:val="24"/>
          <w:bdr w:val="none" w:sz="0" w:space="0" w:color="auto" w:frame="1"/>
          <w:lang w:val="ro-RO"/>
        </w:rPr>
        <w:t> aprobată prin </w:t>
      </w:r>
      <w:r w:rsidRPr="00815699">
        <w:rPr>
          <w:rFonts w:ascii="Times New Roman" w:eastAsia="Times New Roman" w:hAnsi="Times New Roman" w:cs="Times New Roman"/>
          <w:b/>
          <w:bCs/>
          <w:color w:val="444444"/>
          <w:sz w:val="24"/>
          <w:szCs w:val="24"/>
          <w:bdr w:val="none" w:sz="0" w:space="0" w:color="auto" w:frame="1"/>
          <w:lang w:val="ro-RO"/>
        </w:rPr>
        <w:t>Hotărârea de Guvern nr. 583/2016</w:t>
      </w:r>
      <w:r w:rsidRPr="00815699">
        <w:rPr>
          <w:rFonts w:ascii="Times New Roman" w:eastAsia="Times New Roman" w:hAnsi="Times New Roman" w:cs="Times New Roman"/>
          <w:color w:val="444444"/>
          <w:sz w:val="24"/>
          <w:szCs w:val="24"/>
          <w:bdr w:val="none" w:sz="0" w:space="0" w:color="auto" w:frame="1"/>
          <w:lang w:val="ro-RO"/>
        </w:rPr>
        <w:t>, are drept scop principal promovarea integrită</w:t>
      </w:r>
      <w:r w:rsidR="004B377B">
        <w:rPr>
          <w:rFonts w:ascii="Times New Roman" w:eastAsia="Times New Roman" w:hAnsi="Times New Roman" w:cs="Times New Roman"/>
          <w:color w:val="444444"/>
          <w:sz w:val="24"/>
          <w:szCs w:val="24"/>
          <w:bdr w:val="none" w:sz="0" w:space="0" w:color="auto" w:frame="1"/>
          <w:lang w:val="ro-RO"/>
        </w:rPr>
        <w:t>ț</w:t>
      </w:r>
      <w:r w:rsidRPr="00815699">
        <w:rPr>
          <w:rFonts w:ascii="Times New Roman" w:eastAsia="Times New Roman" w:hAnsi="Times New Roman" w:cs="Times New Roman"/>
          <w:color w:val="444444"/>
          <w:sz w:val="24"/>
          <w:szCs w:val="24"/>
          <w:bdr w:val="none" w:sz="0" w:space="0" w:color="auto" w:frame="1"/>
          <w:lang w:val="ro-RO"/>
        </w:rPr>
        <w:t xml:space="preserve">ii, prin aplicarea riguroasă a cadrului normativ </w:t>
      </w:r>
      <w:r w:rsidR="004B377B">
        <w:rPr>
          <w:rFonts w:ascii="Times New Roman" w:eastAsia="Times New Roman" w:hAnsi="Times New Roman" w:cs="Times New Roman"/>
          <w:color w:val="444444"/>
          <w:sz w:val="24"/>
          <w:szCs w:val="24"/>
          <w:bdr w:val="none" w:sz="0" w:space="0" w:color="auto" w:frame="1"/>
          <w:lang w:val="ro-RO"/>
        </w:rPr>
        <w:t>ș</w:t>
      </w:r>
      <w:r w:rsidRPr="00815699">
        <w:rPr>
          <w:rFonts w:ascii="Times New Roman" w:eastAsia="Times New Roman" w:hAnsi="Times New Roman" w:cs="Times New Roman"/>
          <w:color w:val="444444"/>
          <w:sz w:val="24"/>
          <w:szCs w:val="24"/>
          <w:bdr w:val="none" w:sz="0" w:space="0" w:color="auto" w:frame="1"/>
          <w:lang w:val="ro-RO"/>
        </w:rPr>
        <w:t>i institu</w:t>
      </w:r>
      <w:r w:rsidR="004B377B">
        <w:rPr>
          <w:rFonts w:ascii="Times New Roman" w:eastAsia="Times New Roman" w:hAnsi="Times New Roman" w:cs="Times New Roman"/>
          <w:color w:val="444444"/>
          <w:sz w:val="24"/>
          <w:szCs w:val="24"/>
          <w:bdr w:val="none" w:sz="0" w:space="0" w:color="auto" w:frame="1"/>
          <w:lang w:val="ro-RO"/>
        </w:rPr>
        <w:t>ț</w:t>
      </w:r>
      <w:r w:rsidRPr="00815699">
        <w:rPr>
          <w:rFonts w:ascii="Times New Roman" w:eastAsia="Times New Roman" w:hAnsi="Times New Roman" w:cs="Times New Roman"/>
          <w:color w:val="444444"/>
          <w:sz w:val="24"/>
          <w:szCs w:val="24"/>
          <w:bdr w:val="none" w:sz="0" w:space="0" w:color="auto" w:frame="1"/>
          <w:lang w:val="ro-RO"/>
        </w:rPr>
        <w:t>ional în vederea prevenirii corup</w:t>
      </w:r>
      <w:r w:rsidR="004B377B">
        <w:rPr>
          <w:rFonts w:ascii="Times New Roman" w:eastAsia="Times New Roman" w:hAnsi="Times New Roman" w:cs="Times New Roman"/>
          <w:color w:val="444444"/>
          <w:sz w:val="24"/>
          <w:szCs w:val="24"/>
          <w:bdr w:val="none" w:sz="0" w:space="0" w:color="auto" w:frame="1"/>
          <w:lang w:val="ro-RO"/>
        </w:rPr>
        <w:t>ți</w:t>
      </w:r>
      <w:r w:rsidRPr="00815699">
        <w:rPr>
          <w:rFonts w:ascii="Times New Roman" w:eastAsia="Times New Roman" w:hAnsi="Times New Roman" w:cs="Times New Roman"/>
          <w:color w:val="444444"/>
          <w:sz w:val="24"/>
          <w:szCs w:val="24"/>
          <w:bdr w:val="none" w:sz="0" w:space="0" w:color="auto" w:frame="1"/>
          <w:lang w:val="ro-RO"/>
        </w:rPr>
        <w:t>ei în România. Consacrând o serie de principii fundamentale a  căror respectare este esenţială pentru realizarea unei administraţii publice moderne şi eficiente, SNA 2016-2020 păstrează premisa asumării de către toate instituțiile și autoritățile publice, inclusiv întreprinderile publice și alte instituții aflate în coordonarea, subordinea și sub autoritatea instituțiilor publice, a următoarelor precepte:</w:t>
      </w:r>
    </w:p>
    <w:p w:rsidR="00501B06" w:rsidRPr="00815699" w:rsidRDefault="00501B06" w:rsidP="006266A5">
      <w:pPr>
        <w:shd w:val="clear" w:color="auto" w:fill="FFFFFF"/>
        <w:spacing w:after="0" w:line="360" w:lineRule="auto"/>
        <w:ind w:firstLine="720"/>
        <w:jc w:val="both"/>
        <w:rPr>
          <w:rFonts w:ascii="Times New Roman" w:eastAsia="Times New Roman" w:hAnsi="Times New Roman" w:cs="Times New Roman"/>
          <w:color w:val="444444"/>
          <w:sz w:val="24"/>
          <w:szCs w:val="24"/>
          <w:lang w:val="ro-RO"/>
        </w:rPr>
      </w:pPr>
      <w:r w:rsidRPr="00815699">
        <w:rPr>
          <w:rFonts w:ascii="Times New Roman" w:eastAsia="Times New Roman" w:hAnsi="Times New Roman" w:cs="Times New Roman"/>
          <w:color w:val="444444"/>
          <w:sz w:val="24"/>
          <w:szCs w:val="24"/>
          <w:bdr w:val="none" w:sz="0" w:space="0" w:color="auto" w:frame="1"/>
          <w:lang w:val="ro-RO"/>
        </w:rPr>
        <w:t>1. Principiul statului de drept, principiu în baza căruia este consfinţită supremaţia legii, toţi cetăţenii fiind egali în faţa acesteia. Are la bază respectarea drepturilor omului şi presupune separa</w:t>
      </w:r>
      <w:r w:rsidR="00F94B0E">
        <w:rPr>
          <w:rFonts w:ascii="Times New Roman" w:eastAsia="Times New Roman" w:hAnsi="Times New Roman" w:cs="Times New Roman"/>
          <w:color w:val="444444"/>
          <w:sz w:val="24"/>
          <w:szCs w:val="24"/>
          <w:bdr w:val="none" w:sz="0" w:space="0" w:color="auto" w:frame="1"/>
          <w:lang w:val="ro-RO"/>
        </w:rPr>
        <w:t>ț</w:t>
      </w:r>
      <w:r w:rsidRPr="00815699">
        <w:rPr>
          <w:rFonts w:ascii="Times New Roman" w:eastAsia="Times New Roman" w:hAnsi="Times New Roman" w:cs="Times New Roman"/>
          <w:color w:val="444444"/>
          <w:sz w:val="24"/>
          <w:szCs w:val="24"/>
          <w:bdr w:val="none" w:sz="0" w:space="0" w:color="auto" w:frame="1"/>
          <w:lang w:val="ro-RO"/>
        </w:rPr>
        <w:t>ia puterilor în stat</w:t>
      </w:r>
      <w:r w:rsidR="00F94B0E">
        <w:rPr>
          <w:rFonts w:ascii="Times New Roman" w:eastAsia="Times New Roman" w:hAnsi="Times New Roman" w:cs="Times New Roman"/>
          <w:color w:val="444444"/>
          <w:sz w:val="24"/>
          <w:szCs w:val="24"/>
          <w:bdr w:val="none" w:sz="0" w:space="0" w:color="auto" w:frame="1"/>
          <w:lang w:val="ro-RO"/>
        </w:rPr>
        <w:t>;</w:t>
      </w:r>
    </w:p>
    <w:p w:rsidR="00501B06" w:rsidRPr="00815699" w:rsidRDefault="00501B06" w:rsidP="00501B06">
      <w:pPr>
        <w:shd w:val="clear" w:color="auto" w:fill="FFFFFF"/>
        <w:spacing w:after="0" w:line="360" w:lineRule="auto"/>
        <w:ind w:firstLine="720"/>
        <w:jc w:val="both"/>
        <w:rPr>
          <w:rFonts w:ascii="Times New Roman" w:eastAsia="Times New Roman" w:hAnsi="Times New Roman" w:cs="Times New Roman"/>
          <w:color w:val="444444"/>
          <w:sz w:val="24"/>
          <w:szCs w:val="24"/>
          <w:lang w:val="ro-RO"/>
        </w:rPr>
      </w:pPr>
      <w:r w:rsidRPr="00815699">
        <w:rPr>
          <w:rFonts w:ascii="Times New Roman" w:eastAsia="Times New Roman" w:hAnsi="Times New Roman" w:cs="Times New Roman"/>
          <w:color w:val="444444"/>
          <w:sz w:val="24"/>
          <w:szCs w:val="24"/>
          <w:bdr w:val="none" w:sz="0" w:space="0" w:color="auto" w:frame="1"/>
          <w:lang w:val="ro-RO"/>
        </w:rPr>
        <w:t>2. Principiul răspunderii potrivit căruia autorităţile statului răspund pentru îndeplinirea atribu</w:t>
      </w:r>
      <w:r w:rsidR="00F94B0E">
        <w:rPr>
          <w:rFonts w:ascii="Times New Roman" w:eastAsia="Times New Roman" w:hAnsi="Times New Roman" w:cs="Times New Roman"/>
          <w:color w:val="444444"/>
          <w:sz w:val="24"/>
          <w:szCs w:val="24"/>
          <w:bdr w:val="none" w:sz="0" w:space="0" w:color="auto" w:frame="1"/>
          <w:lang w:val="ro-RO"/>
        </w:rPr>
        <w:t>ț</w:t>
      </w:r>
      <w:r w:rsidRPr="00815699">
        <w:rPr>
          <w:rFonts w:ascii="Times New Roman" w:eastAsia="Times New Roman" w:hAnsi="Times New Roman" w:cs="Times New Roman"/>
          <w:color w:val="444444"/>
          <w:sz w:val="24"/>
          <w:szCs w:val="24"/>
          <w:bdr w:val="none" w:sz="0" w:space="0" w:color="auto" w:frame="1"/>
          <w:lang w:val="ro-RO"/>
        </w:rPr>
        <w:t>iilor ce le revin, respectiv pentru modul de implementare şi eficienţa strategiilor;</w:t>
      </w:r>
    </w:p>
    <w:p w:rsidR="00501B06" w:rsidRPr="00815699" w:rsidRDefault="00501B06" w:rsidP="00501B06">
      <w:pPr>
        <w:shd w:val="clear" w:color="auto" w:fill="FFFFFF"/>
        <w:spacing w:after="0" w:line="360" w:lineRule="auto"/>
        <w:ind w:firstLine="720"/>
        <w:jc w:val="both"/>
        <w:rPr>
          <w:rFonts w:ascii="Times New Roman" w:eastAsia="Times New Roman" w:hAnsi="Times New Roman" w:cs="Times New Roman"/>
          <w:color w:val="444444"/>
          <w:sz w:val="24"/>
          <w:szCs w:val="24"/>
          <w:lang w:val="ro-RO"/>
        </w:rPr>
      </w:pPr>
      <w:r w:rsidRPr="00815699">
        <w:rPr>
          <w:rFonts w:ascii="Times New Roman" w:eastAsia="Times New Roman" w:hAnsi="Times New Roman" w:cs="Times New Roman"/>
          <w:color w:val="444444"/>
          <w:sz w:val="24"/>
          <w:szCs w:val="24"/>
          <w:bdr w:val="none" w:sz="0" w:space="0" w:color="auto" w:frame="1"/>
          <w:lang w:val="ro-RO"/>
        </w:rPr>
        <w:t>3. Principiul gestionării responsabile a riscurilor generate de comportamente lipsite de integritate, ca parte integrantă din procesul managerial desfăşurat de către fiecare organizaţie;</w:t>
      </w:r>
    </w:p>
    <w:p w:rsidR="00501B06" w:rsidRPr="00815699" w:rsidRDefault="00501B06" w:rsidP="00501B06">
      <w:pPr>
        <w:shd w:val="clear" w:color="auto" w:fill="FFFFFF"/>
        <w:spacing w:after="0" w:line="360" w:lineRule="auto"/>
        <w:ind w:firstLine="720"/>
        <w:jc w:val="both"/>
        <w:rPr>
          <w:rFonts w:ascii="Times New Roman" w:eastAsia="Times New Roman" w:hAnsi="Times New Roman" w:cs="Times New Roman"/>
          <w:color w:val="444444"/>
          <w:sz w:val="24"/>
          <w:szCs w:val="24"/>
          <w:lang w:val="ro-RO"/>
        </w:rPr>
      </w:pPr>
      <w:r w:rsidRPr="00815699">
        <w:rPr>
          <w:rFonts w:ascii="Times New Roman" w:eastAsia="Times New Roman" w:hAnsi="Times New Roman" w:cs="Times New Roman"/>
          <w:color w:val="444444"/>
          <w:sz w:val="24"/>
          <w:szCs w:val="24"/>
          <w:bdr w:val="none" w:sz="0" w:space="0" w:color="auto" w:frame="1"/>
          <w:lang w:val="ro-RO"/>
        </w:rPr>
        <w:t xml:space="preserve">4. Principiul proporţionalităţii în elaborarea şi punerea în aplicare a procedurilor anticorupţie: </w:t>
      </w:r>
      <w:r w:rsidR="00F94B0E">
        <w:rPr>
          <w:rFonts w:ascii="Times New Roman" w:eastAsia="Times New Roman" w:hAnsi="Times New Roman" w:cs="Times New Roman"/>
          <w:color w:val="444444"/>
          <w:sz w:val="24"/>
          <w:szCs w:val="24"/>
          <w:bdr w:val="none" w:sz="0" w:space="0" w:color="auto" w:frame="1"/>
          <w:lang w:val="ro-RO"/>
        </w:rPr>
        <w:t>i</w:t>
      </w:r>
      <w:r w:rsidRPr="00815699">
        <w:rPr>
          <w:rFonts w:ascii="Times New Roman" w:eastAsia="Times New Roman" w:hAnsi="Times New Roman" w:cs="Times New Roman"/>
          <w:color w:val="444444"/>
          <w:sz w:val="24"/>
          <w:szCs w:val="24"/>
          <w:bdr w:val="none" w:sz="0" w:space="0" w:color="auto" w:frame="1"/>
          <w:lang w:val="ro-RO"/>
        </w:rPr>
        <w:t>nstituţiile publice trebuie să elaboreze, să implementeze şi să menţină proceduri puternice, care să fie proporţionale cu riscurile şi vulnerabilităţile instituţionale şi dimensionate în funcţie de resursele şi complexitatea organizaţiei;</w:t>
      </w:r>
    </w:p>
    <w:p w:rsidR="00501B06" w:rsidRPr="00815699" w:rsidRDefault="00501B06" w:rsidP="00501B06">
      <w:pPr>
        <w:shd w:val="clear" w:color="auto" w:fill="FFFFFF"/>
        <w:spacing w:after="0" w:line="360" w:lineRule="auto"/>
        <w:ind w:firstLine="720"/>
        <w:jc w:val="both"/>
        <w:rPr>
          <w:rFonts w:ascii="Times New Roman" w:eastAsia="Times New Roman" w:hAnsi="Times New Roman" w:cs="Times New Roman"/>
          <w:color w:val="444444"/>
          <w:sz w:val="24"/>
          <w:szCs w:val="24"/>
          <w:lang w:val="ro-RO"/>
        </w:rPr>
      </w:pPr>
      <w:r w:rsidRPr="00815699">
        <w:rPr>
          <w:rFonts w:ascii="Times New Roman" w:eastAsia="Times New Roman" w:hAnsi="Times New Roman" w:cs="Times New Roman"/>
          <w:color w:val="444444"/>
          <w:sz w:val="24"/>
          <w:szCs w:val="24"/>
          <w:bdr w:val="none" w:sz="0" w:space="0" w:color="auto" w:frame="1"/>
          <w:lang w:val="ro-RO"/>
        </w:rPr>
        <w:t xml:space="preserve">5. Principiul răspunderii la cel mai înalt nivel de angajament: </w:t>
      </w:r>
      <w:r w:rsidR="00F94B0E">
        <w:rPr>
          <w:rFonts w:ascii="Times New Roman" w:eastAsia="Times New Roman" w:hAnsi="Times New Roman" w:cs="Times New Roman"/>
          <w:color w:val="444444"/>
          <w:sz w:val="24"/>
          <w:szCs w:val="24"/>
          <w:bdr w:val="none" w:sz="0" w:space="0" w:color="auto" w:frame="1"/>
          <w:lang w:val="ro-RO"/>
        </w:rPr>
        <w:t>p</w:t>
      </w:r>
      <w:r w:rsidRPr="00815699">
        <w:rPr>
          <w:rFonts w:ascii="Times New Roman" w:eastAsia="Times New Roman" w:hAnsi="Times New Roman" w:cs="Times New Roman"/>
          <w:color w:val="444444"/>
          <w:sz w:val="24"/>
          <w:szCs w:val="24"/>
          <w:bdr w:val="none" w:sz="0" w:space="0" w:color="auto" w:frame="1"/>
          <w:lang w:val="ro-RO"/>
        </w:rPr>
        <w:t>oliticile "anti-mită" nu vor fi eficiente dacă nu există un mesaj clar dat de administraţie de la nivelul cel mai înalt că mita nu este tolerată;</w:t>
      </w:r>
    </w:p>
    <w:p w:rsidR="00501B06" w:rsidRPr="00815699" w:rsidRDefault="00501B06" w:rsidP="00501B06">
      <w:pPr>
        <w:shd w:val="clear" w:color="auto" w:fill="FFFFFF"/>
        <w:spacing w:after="0" w:line="360" w:lineRule="auto"/>
        <w:ind w:firstLine="720"/>
        <w:jc w:val="both"/>
        <w:rPr>
          <w:rFonts w:ascii="Times New Roman" w:eastAsia="Times New Roman" w:hAnsi="Times New Roman" w:cs="Times New Roman"/>
          <w:color w:val="444444"/>
          <w:sz w:val="24"/>
          <w:szCs w:val="24"/>
          <w:lang w:val="ro-RO"/>
        </w:rPr>
      </w:pPr>
      <w:r w:rsidRPr="00815699">
        <w:rPr>
          <w:rFonts w:ascii="Times New Roman" w:eastAsia="Times New Roman" w:hAnsi="Times New Roman" w:cs="Times New Roman"/>
          <w:color w:val="444444"/>
          <w:sz w:val="24"/>
          <w:szCs w:val="24"/>
          <w:bdr w:val="none" w:sz="0" w:space="0" w:color="auto" w:frame="1"/>
          <w:lang w:val="ro-RO"/>
        </w:rPr>
        <w:t>6. Principiul prevenirii săvârşirii faptelor de corupţie şi a incidentelor de integritate potrivit căruia identificarea timpurie şi înlăturarea în timp util a premiselor apariţiei faptelor de corupţie sunt prioritare şi imperative;</w:t>
      </w:r>
    </w:p>
    <w:p w:rsidR="00501B06" w:rsidRPr="00815699" w:rsidRDefault="00501B06" w:rsidP="00501B06">
      <w:pPr>
        <w:shd w:val="clear" w:color="auto" w:fill="FFFFFF"/>
        <w:spacing w:after="0" w:line="360" w:lineRule="auto"/>
        <w:ind w:firstLine="720"/>
        <w:jc w:val="both"/>
        <w:rPr>
          <w:rFonts w:ascii="Times New Roman" w:eastAsia="Times New Roman" w:hAnsi="Times New Roman" w:cs="Times New Roman"/>
          <w:color w:val="444444"/>
          <w:sz w:val="24"/>
          <w:szCs w:val="24"/>
          <w:lang w:val="ro-RO"/>
        </w:rPr>
      </w:pPr>
      <w:r w:rsidRPr="00815699">
        <w:rPr>
          <w:rFonts w:ascii="Times New Roman" w:eastAsia="Times New Roman" w:hAnsi="Times New Roman" w:cs="Times New Roman"/>
          <w:color w:val="444444"/>
          <w:sz w:val="24"/>
          <w:szCs w:val="24"/>
          <w:bdr w:val="none" w:sz="0" w:space="0" w:color="auto" w:frame="1"/>
          <w:lang w:val="ro-RO"/>
        </w:rPr>
        <w:t>7. Principiul eficacităţii în combaterea corupţiei, care se bazează pe evaluarea continuă a activităţii instituţiilor cu atribuţii în domeniu, atât din punctul de vedere al îndeplinirii cât mai complete a obiectivelor asumate pentru a produce efectele pozitive pe care societatea le aşteaptă, cât şi al managementului organizaţional;</w:t>
      </w:r>
    </w:p>
    <w:p w:rsidR="00501B06" w:rsidRPr="00815699" w:rsidRDefault="00501B06" w:rsidP="00501B06">
      <w:pPr>
        <w:shd w:val="clear" w:color="auto" w:fill="FFFFFF"/>
        <w:spacing w:after="0" w:line="360" w:lineRule="auto"/>
        <w:ind w:firstLine="720"/>
        <w:jc w:val="both"/>
        <w:rPr>
          <w:rFonts w:ascii="Times New Roman" w:eastAsia="Times New Roman" w:hAnsi="Times New Roman" w:cs="Times New Roman"/>
          <w:color w:val="444444"/>
          <w:sz w:val="24"/>
          <w:szCs w:val="24"/>
          <w:lang w:val="ro-RO"/>
        </w:rPr>
      </w:pPr>
      <w:r w:rsidRPr="00815699">
        <w:rPr>
          <w:rFonts w:ascii="Times New Roman" w:eastAsia="Times New Roman" w:hAnsi="Times New Roman" w:cs="Times New Roman"/>
          <w:color w:val="444444"/>
          <w:sz w:val="24"/>
          <w:szCs w:val="24"/>
          <w:bdr w:val="none" w:sz="0" w:space="0" w:color="auto" w:frame="1"/>
          <w:lang w:val="ro-RO"/>
        </w:rPr>
        <w:t>8. Principiul cooperării şi coerenţei, în baza căruia instituţiile implicate în prevenirea şi combaterea corupţiei trebuie să coopereze îndeaproape, asigurând o concepţie unitară asupra obiectivelor ce trebuie îndeplinite şi a măsurilor ce urmează a fi luate;</w:t>
      </w:r>
      <w:r w:rsidR="00F94B0E">
        <w:rPr>
          <w:rFonts w:ascii="Times New Roman" w:eastAsia="Times New Roman" w:hAnsi="Times New Roman" w:cs="Times New Roman"/>
          <w:color w:val="444444"/>
          <w:sz w:val="24"/>
          <w:szCs w:val="24"/>
          <w:bdr w:val="none" w:sz="0" w:space="0" w:color="auto" w:frame="1"/>
          <w:lang w:val="ro-RO"/>
        </w:rPr>
        <w:t xml:space="preserve"> </w:t>
      </w:r>
    </w:p>
    <w:p w:rsidR="00501B06" w:rsidRPr="00815699" w:rsidRDefault="00501B06" w:rsidP="00501B06">
      <w:pPr>
        <w:shd w:val="clear" w:color="auto" w:fill="FFFFFF"/>
        <w:spacing w:after="0" w:line="360" w:lineRule="auto"/>
        <w:ind w:firstLine="720"/>
        <w:jc w:val="both"/>
        <w:rPr>
          <w:rFonts w:ascii="Times New Roman" w:eastAsia="Times New Roman" w:hAnsi="Times New Roman" w:cs="Times New Roman"/>
          <w:color w:val="444444"/>
          <w:sz w:val="24"/>
          <w:szCs w:val="24"/>
          <w:lang w:val="ro-RO"/>
        </w:rPr>
      </w:pPr>
      <w:r w:rsidRPr="00815699">
        <w:rPr>
          <w:rFonts w:ascii="Times New Roman" w:eastAsia="Times New Roman" w:hAnsi="Times New Roman" w:cs="Times New Roman"/>
          <w:color w:val="444444"/>
          <w:sz w:val="24"/>
          <w:szCs w:val="24"/>
          <w:bdr w:val="none" w:sz="0" w:space="0" w:color="auto" w:frame="1"/>
          <w:lang w:val="ro-RO"/>
        </w:rPr>
        <w:lastRenderedPageBreak/>
        <w:t>9. Principiul parteneriatului public - privat, care recunoaşte importanţa cooptării societăţii civile şi a mediului de afaceri în activităţile concrete de implementare a măsurilor de prevenire a corupţiei;</w:t>
      </w:r>
    </w:p>
    <w:p w:rsidR="006266A5" w:rsidRDefault="00501B06" w:rsidP="006266A5">
      <w:pPr>
        <w:shd w:val="clear" w:color="auto" w:fill="FFFFFF"/>
        <w:spacing w:after="0" w:line="360" w:lineRule="auto"/>
        <w:ind w:firstLine="720"/>
        <w:jc w:val="both"/>
        <w:rPr>
          <w:rFonts w:ascii="Times New Roman" w:eastAsia="Times New Roman" w:hAnsi="Times New Roman" w:cs="Times New Roman"/>
          <w:color w:val="444444"/>
          <w:sz w:val="24"/>
          <w:szCs w:val="24"/>
          <w:lang w:val="ro-RO"/>
        </w:rPr>
      </w:pPr>
      <w:r w:rsidRPr="00815699">
        <w:rPr>
          <w:rFonts w:ascii="Times New Roman" w:eastAsia="Times New Roman" w:hAnsi="Times New Roman" w:cs="Times New Roman"/>
          <w:color w:val="444444"/>
          <w:sz w:val="24"/>
          <w:szCs w:val="24"/>
          <w:bdr w:val="none" w:sz="0" w:space="0" w:color="auto" w:frame="1"/>
          <w:lang w:val="ro-RO"/>
        </w:rPr>
        <w:t>10. Principiul accesului neîngrădit la informaţiile de interes public şi al transparenţei decizionale.</w:t>
      </w:r>
    </w:p>
    <w:p w:rsidR="00792D85" w:rsidRPr="006266A5" w:rsidRDefault="003002E3" w:rsidP="006266A5">
      <w:pPr>
        <w:shd w:val="clear" w:color="auto" w:fill="FFFFFF"/>
        <w:spacing w:after="0" w:line="360" w:lineRule="auto"/>
        <w:ind w:firstLine="720"/>
        <w:jc w:val="both"/>
        <w:rPr>
          <w:rFonts w:ascii="Times New Roman" w:eastAsia="Times New Roman" w:hAnsi="Times New Roman" w:cs="Times New Roman"/>
          <w:color w:val="444444"/>
          <w:sz w:val="24"/>
          <w:szCs w:val="24"/>
          <w:lang w:val="ro-RO"/>
        </w:rPr>
      </w:pPr>
      <w:r w:rsidRPr="00815699">
        <w:rPr>
          <w:rFonts w:ascii="Times New Roman" w:hAnsi="Times New Roman" w:cs="Times New Roman"/>
          <w:sz w:val="24"/>
          <w:szCs w:val="24"/>
          <w:lang w:val="ro-RO"/>
        </w:rPr>
        <w:t xml:space="preserve">Deşi la acest moment era necesar să urmeze, alături de celelalte strategii, şi Strategia Naţională de Combatere a Criminalităţii Organizate, aceasta nu a constituit preocuparea nici unui executiv de după anul 2007, anul integrării europene. </w:t>
      </w:r>
      <w:r w:rsidR="00792D85" w:rsidRPr="00815699">
        <w:rPr>
          <w:rFonts w:ascii="Times New Roman" w:hAnsi="Times New Roman" w:cs="Times New Roman"/>
          <w:sz w:val="24"/>
          <w:szCs w:val="24"/>
          <w:lang w:val="ro-RO"/>
        </w:rPr>
        <w:t xml:space="preserve">Deşi s-a solicitat, de către </w:t>
      </w:r>
      <w:r w:rsidR="00F94B0E">
        <w:rPr>
          <w:rFonts w:ascii="Times New Roman" w:hAnsi="Times New Roman" w:cs="Times New Roman"/>
          <w:sz w:val="24"/>
          <w:szCs w:val="24"/>
          <w:lang w:val="ro-RO"/>
        </w:rPr>
        <w:t>c</w:t>
      </w:r>
      <w:r w:rsidR="00792D85" w:rsidRPr="00815699">
        <w:rPr>
          <w:rFonts w:ascii="Times New Roman" w:hAnsi="Times New Roman" w:cs="Times New Roman"/>
          <w:sz w:val="24"/>
          <w:szCs w:val="24"/>
          <w:lang w:val="ro-RO"/>
        </w:rPr>
        <w:t xml:space="preserve">onducerea anterioară a </w:t>
      </w:r>
      <w:r w:rsidR="00792D85" w:rsidRPr="00A30D53">
        <w:rPr>
          <w:rFonts w:ascii="Times New Roman" w:hAnsi="Times New Roman" w:cs="Times New Roman"/>
          <w:sz w:val="24"/>
          <w:szCs w:val="24"/>
          <w:lang w:val="ro-RO"/>
        </w:rPr>
        <w:t xml:space="preserve">Direcţiei de </w:t>
      </w:r>
      <w:r w:rsidR="00A30D53">
        <w:rPr>
          <w:rFonts w:ascii="Times New Roman" w:hAnsi="Times New Roman" w:cs="Times New Roman"/>
          <w:sz w:val="24"/>
          <w:szCs w:val="24"/>
          <w:lang w:val="ro-RO"/>
        </w:rPr>
        <w:t xml:space="preserve">Investigare a Infracțiunilor de Criminalitate </w:t>
      </w:r>
      <w:r w:rsidR="00792D85" w:rsidRPr="00A30D53">
        <w:rPr>
          <w:rFonts w:ascii="Times New Roman" w:hAnsi="Times New Roman" w:cs="Times New Roman"/>
          <w:sz w:val="24"/>
          <w:szCs w:val="24"/>
          <w:lang w:val="ro-RO"/>
        </w:rPr>
        <w:t>Organizate şi Terorism</w:t>
      </w:r>
      <w:r w:rsidR="00792D85" w:rsidRPr="00815699">
        <w:rPr>
          <w:rFonts w:ascii="Times New Roman" w:hAnsi="Times New Roman" w:cs="Times New Roman"/>
          <w:sz w:val="24"/>
          <w:szCs w:val="24"/>
          <w:lang w:val="ro-RO"/>
        </w:rPr>
        <w:t>, crearea cadrului instituţional (in principiu, sub egida Ministerului Justiţiei), pentru realizarea Analize</w:t>
      </w:r>
      <w:r w:rsidR="00300644" w:rsidRPr="00815699">
        <w:rPr>
          <w:rFonts w:ascii="Times New Roman" w:hAnsi="Times New Roman" w:cs="Times New Roman"/>
          <w:sz w:val="24"/>
          <w:szCs w:val="24"/>
          <w:lang w:val="ro-RO"/>
        </w:rPr>
        <w:t>i Naţionale de Riscuri şi Amenin</w:t>
      </w:r>
      <w:r w:rsidR="00792D85" w:rsidRPr="00815699">
        <w:rPr>
          <w:rFonts w:ascii="Times New Roman" w:hAnsi="Times New Roman" w:cs="Times New Roman"/>
          <w:sz w:val="24"/>
          <w:szCs w:val="24"/>
          <w:lang w:val="ro-RO"/>
        </w:rPr>
        <w:t xml:space="preserve">ţări, care ar putea produce un document care să genereze o Strategie integrată de combatere a criminalităţii organizate, totuşi acesastă analiză nu a putut fi efectuată. Astfel, şi în prezent, structura naţională de combatere a criminalităţii organizate este lipsită de instrumentul strategic cel mai important şi abordează fenomenul infracţional organizat eminamente reactiv. </w:t>
      </w:r>
    </w:p>
    <w:p w:rsidR="00D57D44" w:rsidRDefault="00792D85" w:rsidP="00DA5278">
      <w:pPr>
        <w:tabs>
          <w:tab w:val="left" w:pos="960"/>
        </w:tabs>
        <w:spacing w:line="360" w:lineRule="auto"/>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ab/>
      </w:r>
      <w:r w:rsidR="004305EC" w:rsidRPr="00815699">
        <w:rPr>
          <w:rFonts w:ascii="Times New Roman" w:hAnsi="Times New Roman" w:cs="Times New Roman"/>
          <w:sz w:val="24"/>
          <w:szCs w:val="24"/>
          <w:lang w:val="ro-RO"/>
        </w:rPr>
        <w:tab/>
      </w:r>
    </w:p>
    <w:p w:rsidR="006266A5" w:rsidRDefault="006266A5" w:rsidP="00DA5278">
      <w:pPr>
        <w:tabs>
          <w:tab w:val="left" w:pos="960"/>
        </w:tabs>
        <w:spacing w:line="360" w:lineRule="auto"/>
        <w:jc w:val="both"/>
        <w:rPr>
          <w:rFonts w:ascii="Times New Roman" w:hAnsi="Times New Roman" w:cs="Times New Roman"/>
          <w:b/>
          <w:sz w:val="24"/>
          <w:szCs w:val="24"/>
          <w:u w:val="single"/>
          <w:lang w:val="ro-RO"/>
        </w:rPr>
      </w:pPr>
      <w:r w:rsidRPr="006266A5">
        <w:rPr>
          <w:rFonts w:ascii="Times New Roman" w:hAnsi="Times New Roman" w:cs="Times New Roman"/>
          <w:b/>
          <w:sz w:val="24"/>
          <w:szCs w:val="24"/>
          <w:lang w:val="ro-RO"/>
        </w:rPr>
        <w:tab/>
      </w:r>
      <w:r w:rsidR="004305EC" w:rsidRPr="00815699">
        <w:rPr>
          <w:rFonts w:ascii="Times New Roman" w:hAnsi="Times New Roman" w:cs="Times New Roman"/>
          <w:b/>
          <w:sz w:val="24"/>
          <w:szCs w:val="24"/>
          <w:u w:val="single"/>
          <w:lang w:val="ro-RO"/>
        </w:rPr>
        <w:t>Capitolul II</w:t>
      </w:r>
    </w:p>
    <w:p w:rsidR="00815699" w:rsidRDefault="009778A5" w:rsidP="00DA5278">
      <w:pPr>
        <w:tabs>
          <w:tab w:val="left" w:pos="960"/>
        </w:tabs>
        <w:spacing w:line="360" w:lineRule="auto"/>
        <w:jc w:val="both"/>
        <w:rPr>
          <w:rFonts w:ascii="Times New Roman" w:hAnsi="Times New Roman" w:cs="Times New Roman"/>
          <w:b/>
          <w:sz w:val="24"/>
          <w:szCs w:val="24"/>
          <w:u w:val="single"/>
          <w:lang w:val="ro-RO"/>
        </w:rPr>
      </w:pPr>
      <w:r w:rsidRPr="009778A5">
        <w:rPr>
          <w:rFonts w:ascii="Times New Roman" w:hAnsi="Times New Roman" w:cs="Times New Roman"/>
          <w:b/>
          <w:sz w:val="24"/>
          <w:szCs w:val="24"/>
          <w:lang w:val="ro-RO"/>
        </w:rPr>
        <w:tab/>
      </w:r>
      <w:r w:rsidR="004D29D5" w:rsidRPr="00815699">
        <w:rPr>
          <w:rFonts w:ascii="Times New Roman" w:hAnsi="Times New Roman" w:cs="Times New Roman"/>
          <w:b/>
          <w:sz w:val="24"/>
          <w:szCs w:val="24"/>
          <w:u w:val="single"/>
          <w:lang w:val="ro-RO"/>
        </w:rPr>
        <w:t xml:space="preserve">Prezentarea generală a Ministerului Public, </w:t>
      </w:r>
      <w:r w:rsidR="00815699">
        <w:rPr>
          <w:rFonts w:ascii="Times New Roman" w:hAnsi="Times New Roman" w:cs="Times New Roman"/>
          <w:b/>
          <w:sz w:val="24"/>
          <w:szCs w:val="24"/>
          <w:u w:val="single"/>
          <w:lang w:val="ro-RO"/>
        </w:rPr>
        <w:t xml:space="preserve">principii, atribuții, </w:t>
      </w:r>
      <w:r w:rsidR="004D29D5" w:rsidRPr="00815699">
        <w:rPr>
          <w:rFonts w:ascii="Times New Roman" w:hAnsi="Times New Roman" w:cs="Times New Roman"/>
          <w:b/>
          <w:sz w:val="24"/>
          <w:szCs w:val="24"/>
          <w:u w:val="single"/>
          <w:lang w:val="ro-RO"/>
        </w:rPr>
        <w:t xml:space="preserve">organizare </w:t>
      </w:r>
    </w:p>
    <w:p w:rsidR="004E250B" w:rsidRPr="00815699" w:rsidRDefault="00F94B0E" w:rsidP="008F51CE">
      <w:pPr>
        <w:tabs>
          <w:tab w:val="left" w:pos="1275"/>
        </w:tabs>
        <w:jc w:val="both"/>
        <w:rPr>
          <w:rFonts w:ascii="Times New Roman" w:hAnsi="Times New Roman" w:cs="Times New Roman"/>
          <w:b/>
          <w:sz w:val="24"/>
          <w:szCs w:val="24"/>
          <w:u w:val="single"/>
          <w:lang w:val="ro-RO"/>
        </w:rPr>
      </w:pPr>
      <w:r w:rsidRPr="00F94B0E">
        <w:rPr>
          <w:rFonts w:ascii="Times New Roman" w:hAnsi="Times New Roman" w:cs="Times New Roman"/>
          <w:b/>
          <w:sz w:val="24"/>
          <w:szCs w:val="24"/>
          <w:lang w:val="ro-RO"/>
        </w:rPr>
        <w:tab/>
      </w:r>
      <w:r w:rsidR="004E250B" w:rsidRPr="00815699">
        <w:rPr>
          <w:rFonts w:ascii="Times New Roman" w:hAnsi="Times New Roman" w:cs="Times New Roman"/>
          <w:b/>
          <w:sz w:val="24"/>
          <w:szCs w:val="24"/>
          <w:u w:val="single"/>
          <w:lang w:val="ro-RO"/>
        </w:rPr>
        <w:t>A.Principii</w:t>
      </w:r>
    </w:p>
    <w:p w:rsidR="008F51CE" w:rsidRPr="00815699" w:rsidRDefault="004D29D5" w:rsidP="008F51CE">
      <w:pPr>
        <w:autoSpaceDE w:val="0"/>
        <w:autoSpaceDN w:val="0"/>
        <w:adjustRightInd w:val="0"/>
        <w:spacing w:after="0" w:line="360" w:lineRule="auto"/>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ab/>
      </w:r>
      <w:r w:rsidR="000F7121" w:rsidRPr="00815699">
        <w:rPr>
          <w:rFonts w:ascii="Times New Roman" w:hAnsi="Times New Roman" w:cs="Times New Roman"/>
          <w:sz w:val="24"/>
          <w:szCs w:val="24"/>
          <w:lang w:val="ro-RO"/>
        </w:rPr>
        <w:t>Conform art. 131</w:t>
      </w:r>
      <w:r w:rsidR="00300644" w:rsidRPr="00815699">
        <w:rPr>
          <w:rFonts w:ascii="Times New Roman" w:hAnsi="Times New Roman" w:cs="Times New Roman"/>
          <w:sz w:val="24"/>
          <w:szCs w:val="24"/>
          <w:lang w:val="ro-RO"/>
        </w:rPr>
        <w:t>-132</w:t>
      </w:r>
      <w:r w:rsidR="000F7121" w:rsidRPr="00815699">
        <w:rPr>
          <w:rFonts w:ascii="Times New Roman" w:hAnsi="Times New Roman" w:cs="Times New Roman"/>
          <w:sz w:val="24"/>
          <w:szCs w:val="24"/>
          <w:lang w:val="ro-RO"/>
        </w:rPr>
        <w:t xml:space="preserve"> din Constituția României, </w:t>
      </w:r>
      <w:r w:rsidR="000F7121" w:rsidRPr="00815699">
        <w:rPr>
          <w:rFonts w:ascii="Times New Roman" w:hAnsi="Times New Roman" w:cs="Times New Roman"/>
          <w:color w:val="2A2A2A"/>
          <w:sz w:val="24"/>
          <w:szCs w:val="24"/>
          <w:shd w:val="clear" w:color="auto" w:fill="FFFFFF"/>
          <w:lang w:val="ro-RO"/>
        </w:rPr>
        <w:t>în activitatea judiciară, Ministerul Public reprezintă interesele generale ale societăţii şi apără ordinea de drept, precum şi drepturile şi libertăţile cetăţenilor.</w:t>
      </w:r>
      <w:r w:rsidR="00300644" w:rsidRPr="00815699">
        <w:rPr>
          <w:rFonts w:ascii="Times New Roman" w:hAnsi="Times New Roman" w:cs="Times New Roman"/>
          <w:color w:val="2A2A2A"/>
          <w:sz w:val="24"/>
          <w:szCs w:val="24"/>
          <w:shd w:val="clear" w:color="auto" w:fill="FFFFFF"/>
        </w:rPr>
        <w:t xml:space="preserve"> </w:t>
      </w:r>
      <w:r w:rsidR="00300644" w:rsidRPr="00815699">
        <w:rPr>
          <w:rFonts w:ascii="Times New Roman" w:hAnsi="Times New Roman" w:cs="Times New Roman"/>
          <w:color w:val="2A2A2A"/>
          <w:sz w:val="24"/>
          <w:szCs w:val="24"/>
          <w:shd w:val="clear" w:color="auto" w:fill="FFFFFF"/>
          <w:lang w:val="ro-RO"/>
        </w:rPr>
        <w:t>Procurorii îşi desfăşoară activitatea potrivit principiului legalităţii, al imparţialităţii şi al controlului ierarhic, sub autoritatea ministrului justiţiei.</w:t>
      </w:r>
      <w:r w:rsidR="000F7121" w:rsidRPr="00815699">
        <w:rPr>
          <w:rFonts w:ascii="Times New Roman" w:hAnsi="Times New Roman" w:cs="Times New Roman"/>
          <w:sz w:val="24"/>
          <w:szCs w:val="24"/>
          <w:lang w:val="ro-RO"/>
        </w:rPr>
        <w:t xml:space="preserve"> </w:t>
      </w:r>
      <w:r w:rsidR="00300644" w:rsidRPr="00815699">
        <w:rPr>
          <w:rFonts w:ascii="Times New Roman" w:hAnsi="Times New Roman" w:cs="Times New Roman"/>
          <w:sz w:val="24"/>
          <w:szCs w:val="24"/>
          <w:lang w:val="ro-RO"/>
        </w:rPr>
        <w:t>Potrivit</w:t>
      </w:r>
      <w:r w:rsidR="008F51CE" w:rsidRPr="00815699">
        <w:rPr>
          <w:rFonts w:ascii="Times New Roman" w:hAnsi="Times New Roman" w:cs="Times New Roman"/>
          <w:sz w:val="24"/>
          <w:szCs w:val="24"/>
          <w:lang w:val="ro-RO"/>
        </w:rPr>
        <w:t xml:space="preserve"> art. 1 lit c) din Legea nr 304/2004, Ministerul Public îşi exercită atribuţiile prin procurori constituiţi în parchete, în condiţiile legii. Conform art. 4 din </w:t>
      </w:r>
      <w:r w:rsidR="00300644" w:rsidRPr="00815699">
        <w:rPr>
          <w:rFonts w:ascii="Times New Roman" w:hAnsi="Times New Roman" w:cs="Times New Roman"/>
          <w:sz w:val="24"/>
          <w:szCs w:val="24"/>
          <w:lang w:val="ro-RO"/>
        </w:rPr>
        <w:t>a</w:t>
      </w:r>
      <w:r w:rsidR="008F51CE" w:rsidRPr="00815699">
        <w:rPr>
          <w:rFonts w:ascii="Times New Roman" w:hAnsi="Times New Roman" w:cs="Times New Roman"/>
          <w:sz w:val="24"/>
          <w:szCs w:val="24"/>
          <w:lang w:val="ro-RO"/>
        </w:rPr>
        <w:t xml:space="preserve">ceeași lege, în activitatea judiciară Ministerul Public reprezintă interesele generale ale societăţii şi apără ordinea de drept, precum şi drepturile şi libertăţile cetăţenilor.  Parchetele </w:t>
      </w:r>
      <w:r w:rsidR="00300644" w:rsidRPr="00815699">
        <w:rPr>
          <w:rFonts w:ascii="Times New Roman" w:hAnsi="Times New Roman" w:cs="Times New Roman"/>
          <w:sz w:val="24"/>
          <w:szCs w:val="24"/>
        </w:rPr>
        <w:t>[…]</w:t>
      </w:r>
      <w:r w:rsidR="008F51CE" w:rsidRPr="00815699">
        <w:rPr>
          <w:rFonts w:ascii="Times New Roman" w:hAnsi="Times New Roman" w:cs="Times New Roman"/>
          <w:sz w:val="24"/>
          <w:szCs w:val="24"/>
          <w:lang w:val="ro-RO"/>
        </w:rPr>
        <w:t xml:space="preserve"> conduc şi supraveghează activitatea de cercetare penală a poliţiei judiciare, în condiţiile legii.</w:t>
      </w:r>
    </w:p>
    <w:p w:rsidR="00F155B7" w:rsidRPr="00815699" w:rsidRDefault="004E250B" w:rsidP="004E250B">
      <w:pPr>
        <w:tabs>
          <w:tab w:val="left" w:pos="1365"/>
        </w:tabs>
        <w:autoSpaceDE w:val="0"/>
        <w:autoSpaceDN w:val="0"/>
        <w:adjustRightInd w:val="0"/>
        <w:spacing w:after="0" w:line="360" w:lineRule="auto"/>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ab/>
      </w:r>
    </w:p>
    <w:p w:rsidR="00A70C96" w:rsidRDefault="00F94B0E" w:rsidP="004E250B">
      <w:pPr>
        <w:tabs>
          <w:tab w:val="left" w:pos="1365"/>
        </w:tabs>
        <w:autoSpaceDE w:val="0"/>
        <w:autoSpaceDN w:val="0"/>
        <w:adjustRightInd w:val="0"/>
        <w:spacing w:after="0" w:line="360" w:lineRule="auto"/>
        <w:jc w:val="both"/>
        <w:rPr>
          <w:rFonts w:ascii="Times New Roman" w:hAnsi="Times New Roman" w:cs="Times New Roman"/>
          <w:b/>
          <w:sz w:val="24"/>
          <w:szCs w:val="24"/>
          <w:lang w:val="ro-RO"/>
        </w:rPr>
      </w:pPr>
      <w:r w:rsidRPr="00F94B0E">
        <w:rPr>
          <w:rFonts w:ascii="Times New Roman" w:hAnsi="Times New Roman" w:cs="Times New Roman"/>
          <w:b/>
          <w:sz w:val="24"/>
          <w:szCs w:val="24"/>
          <w:lang w:val="ro-RO"/>
        </w:rPr>
        <w:tab/>
      </w:r>
    </w:p>
    <w:p w:rsidR="004E250B" w:rsidRPr="00815699" w:rsidRDefault="00A70C96" w:rsidP="004E250B">
      <w:pPr>
        <w:tabs>
          <w:tab w:val="left" w:pos="1365"/>
        </w:tabs>
        <w:autoSpaceDE w:val="0"/>
        <w:autoSpaceDN w:val="0"/>
        <w:adjustRightInd w:val="0"/>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ab/>
      </w:r>
      <w:r w:rsidR="004E250B" w:rsidRPr="00815699">
        <w:rPr>
          <w:rFonts w:ascii="Times New Roman" w:hAnsi="Times New Roman" w:cs="Times New Roman"/>
          <w:b/>
          <w:sz w:val="24"/>
          <w:szCs w:val="24"/>
          <w:u w:val="single"/>
          <w:lang w:val="ro-RO"/>
        </w:rPr>
        <w:t>B. Atribuții și organizare</w:t>
      </w:r>
    </w:p>
    <w:p w:rsidR="008F51CE" w:rsidRPr="00815699" w:rsidRDefault="004E250B" w:rsidP="004E250B">
      <w:pPr>
        <w:tabs>
          <w:tab w:val="left" w:pos="1365"/>
        </w:tabs>
        <w:autoSpaceDE w:val="0"/>
        <w:autoSpaceDN w:val="0"/>
        <w:adjustRightInd w:val="0"/>
        <w:spacing w:after="0" w:line="360" w:lineRule="auto"/>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ab/>
        <w:t xml:space="preserve">Ministerul Public ocupă întreg Titlul III din Legea nr 304/2004 republicată, primul capitol referindu-se la atribuții, iar cel de al doilea, la organizare. </w:t>
      </w:r>
    </w:p>
    <w:p w:rsidR="00F155B7" w:rsidRPr="00815699" w:rsidRDefault="00F155B7" w:rsidP="00F155B7">
      <w:pPr>
        <w:autoSpaceDE w:val="0"/>
        <w:autoSpaceDN w:val="0"/>
        <w:adjustRightInd w:val="0"/>
        <w:spacing w:after="0" w:line="360" w:lineRule="auto"/>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lastRenderedPageBreak/>
        <w:tab/>
      </w:r>
      <w:r w:rsidR="003705B9" w:rsidRPr="00815699">
        <w:rPr>
          <w:rFonts w:ascii="Times New Roman" w:hAnsi="Times New Roman" w:cs="Times New Roman"/>
          <w:sz w:val="24"/>
          <w:szCs w:val="24"/>
          <w:lang w:val="ro-RO"/>
        </w:rPr>
        <w:t xml:space="preserve">Astfel, </w:t>
      </w:r>
      <w:r w:rsidRPr="00815699">
        <w:rPr>
          <w:rFonts w:ascii="Times New Roman" w:hAnsi="Times New Roman" w:cs="Times New Roman"/>
          <w:sz w:val="24"/>
          <w:szCs w:val="24"/>
          <w:lang w:val="ro-RO"/>
        </w:rPr>
        <w:t>Ministerul Public îşi exercită atribuţiile în temeiul legii şi este condus de procurorul general al Parchetului de pe lângă Înalta Curte de Casaţie şi Justiţie. Parchetele sunt independente în relaţiile cu instanţele judecătoreşti, precum şi cu celelalte autorităţi publice.</w:t>
      </w:r>
    </w:p>
    <w:p w:rsidR="002C38C8" w:rsidRPr="00815699" w:rsidRDefault="003705B9" w:rsidP="002C38C8">
      <w:pPr>
        <w:autoSpaceDE w:val="0"/>
        <w:autoSpaceDN w:val="0"/>
        <w:adjustRightInd w:val="0"/>
        <w:spacing w:after="0" w:line="360" w:lineRule="auto"/>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ab/>
        <w:t>Ministerul Public își exercită atribuțiile prin procurori care compun unități de parchet. Fiecare dintre atributele fundamentale ale funcționării Ministerului este dezvoltat în cele două capitol</w:t>
      </w:r>
      <w:r w:rsidR="00F94B0E">
        <w:rPr>
          <w:rFonts w:ascii="Times New Roman" w:hAnsi="Times New Roman" w:cs="Times New Roman"/>
          <w:sz w:val="24"/>
          <w:szCs w:val="24"/>
          <w:lang w:val="ro-RO"/>
        </w:rPr>
        <w:t>e</w:t>
      </w:r>
      <w:r w:rsidRPr="00815699">
        <w:rPr>
          <w:rFonts w:ascii="Times New Roman" w:hAnsi="Times New Roman" w:cs="Times New Roman"/>
          <w:sz w:val="24"/>
          <w:szCs w:val="24"/>
          <w:lang w:val="ro-RO"/>
        </w:rPr>
        <w:t xml:space="preserve"> din Titlul III. </w:t>
      </w:r>
    </w:p>
    <w:p w:rsidR="003705B9" w:rsidRPr="00815699" w:rsidRDefault="003705B9" w:rsidP="002C38C8">
      <w:pPr>
        <w:autoSpaceDE w:val="0"/>
        <w:autoSpaceDN w:val="0"/>
        <w:adjustRightInd w:val="0"/>
        <w:spacing w:after="0" w:line="360" w:lineRule="auto"/>
        <w:ind w:firstLine="720"/>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 xml:space="preserve">Astfel, </w:t>
      </w:r>
      <w:r w:rsidRPr="00D57D44">
        <w:rPr>
          <w:rFonts w:ascii="Times New Roman" w:hAnsi="Times New Roman" w:cs="Times New Roman"/>
          <w:b/>
          <w:sz w:val="24"/>
          <w:szCs w:val="24"/>
          <w:lang w:val="ro-RO"/>
        </w:rPr>
        <w:t>raportat la principiul legalității</w:t>
      </w:r>
      <w:r w:rsidRPr="00815699">
        <w:rPr>
          <w:rFonts w:ascii="Times New Roman" w:hAnsi="Times New Roman" w:cs="Times New Roman"/>
          <w:sz w:val="24"/>
          <w:szCs w:val="24"/>
          <w:lang w:val="ro-RO"/>
        </w:rPr>
        <w:t>, legea prevede că procurorii:</w:t>
      </w:r>
    </w:p>
    <w:p w:rsidR="003705B9" w:rsidRPr="00815699" w:rsidRDefault="003705B9" w:rsidP="002C38C8">
      <w:pPr>
        <w:autoSpaceDE w:val="0"/>
        <w:autoSpaceDN w:val="0"/>
        <w:adjustRightInd w:val="0"/>
        <w:spacing w:after="0" w:line="360" w:lineRule="auto"/>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ab/>
      </w:r>
      <w:r w:rsidRPr="00815699">
        <w:rPr>
          <w:rFonts w:ascii="Times New Roman" w:hAnsi="Times New Roman" w:cs="Times New Roman"/>
          <w:sz w:val="24"/>
          <w:szCs w:val="24"/>
          <w:lang w:val="ro-RO"/>
        </w:rPr>
        <w:tab/>
        <w:t>- efectuea</w:t>
      </w:r>
      <w:r w:rsidR="002C38C8" w:rsidRPr="00815699">
        <w:rPr>
          <w:rFonts w:ascii="Times New Roman" w:hAnsi="Times New Roman" w:cs="Times New Roman"/>
          <w:sz w:val="24"/>
          <w:szCs w:val="24"/>
          <w:lang w:val="ro-RO"/>
        </w:rPr>
        <w:t xml:space="preserve">ză urmărirea penală, conduc și </w:t>
      </w:r>
      <w:r w:rsidRPr="00815699">
        <w:rPr>
          <w:rFonts w:ascii="Times New Roman" w:hAnsi="Times New Roman" w:cs="Times New Roman"/>
          <w:sz w:val="24"/>
          <w:szCs w:val="24"/>
          <w:lang w:val="ro-RO"/>
        </w:rPr>
        <w:t>supraveghează activitatea de cercetare penală a poliţiei judiciare</w:t>
      </w:r>
      <w:r w:rsidR="00F94B0E">
        <w:rPr>
          <w:rFonts w:ascii="Times New Roman" w:hAnsi="Times New Roman" w:cs="Times New Roman"/>
          <w:sz w:val="24"/>
          <w:szCs w:val="24"/>
          <w:lang w:val="ro-RO"/>
        </w:rPr>
        <w:t>;</w:t>
      </w:r>
    </w:p>
    <w:p w:rsidR="003705B9" w:rsidRPr="00815699" w:rsidRDefault="003705B9" w:rsidP="002C38C8">
      <w:pPr>
        <w:autoSpaceDE w:val="0"/>
        <w:autoSpaceDN w:val="0"/>
        <w:adjustRightInd w:val="0"/>
        <w:spacing w:after="0" w:line="360" w:lineRule="auto"/>
        <w:ind w:firstLine="1440"/>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 xml:space="preserve">- sesizează instanţele judecătoreşti pentru judecarea </w:t>
      </w:r>
      <w:r w:rsidR="002C38C8" w:rsidRPr="00815699">
        <w:rPr>
          <w:rFonts w:ascii="Times New Roman" w:hAnsi="Times New Roman" w:cs="Times New Roman"/>
          <w:sz w:val="24"/>
          <w:szCs w:val="24"/>
          <w:lang w:val="ro-RO"/>
        </w:rPr>
        <w:t xml:space="preserve">cauzelor penale, participă la </w:t>
      </w:r>
      <w:r w:rsidR="00D57D44">
        <w:rPr>
          <w:rFonts w:ascii="Times New Roman" w:hAnsi="Times New Roman" w:cs="Times New Roman"/>
          <w:sz w:val="24"/>
          <w:szCs w:val="24"/>
          <w:lang w:val="ro-RO"/>
        </w:rPr>
        <w:t>ș</w:t>
      </w:r>
      <w:r w:rsidR="002C38C8" w:rsidRPr="00815699">
        <w:rPr>
          <w:rFonts w:ascii="Times New Roman" w:hAnsi="Times New Roman" w:cs="Times New Roman"/>
          <w:sz w:val="24"/>
          <w:szCs w:val="24"/>
          <w:lang w:val="ro-RO"/>
        </w:rPr>
        <w:t>edinţele de judecată și exercită căile de atac împotriva hotărârilor judecătoreşti;</w:t>
      </w:r>
    </w:p>
    <w:p w:rsidR="003705B9" w:rsidRPr="00815699" w:rsidRDefault="003705B9" w:rsidP="002C38C8">
      <w:pPr>
        <w:autoSpaceDE w:val="0"/>
        <w:autoSpaceDN w:val="0"/>
        <w:adjustRightInd w:val="0"/>
        <w:spacing w:after="0" w:line="360" w:lineRule="auto"/>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 xml:space="preserve">    </w:t>
      </w:r>
      <w:r w:rsidRPr="00815699">
        <w:rPr>
          <w:rFonts w:ascii="Times New Roman" w:hAnsi="Times New Roman" w:cs="Times New Roman"/>
          <w:sz w:val="24"/>
          <w:szCs w:val="24"/>
          <w:lang w:val="ro-RO"/>
        </w:rPr>
        <w:tab/>
      </w:r>
      <w:r w:rsidRPr="00815699">
        <w:rPr>
          <w:rFonts w:ascii="Times New Roman" w:hAnsi="Times New Roman" w:cs="Times New Roman"/>
          <w:sz w:val="24"/>
          <w:szCs w:val="24"/>
          <w:lang w:val="ro-RO"/>
        </w:rPr>
        <w:tab/>
        <w:t>- exercită acţiunea civilă și acțiunea penală în cazurile prevăzute de lege;</w:t>
      </w:r>
    </w:p>
    <w:p w:rsidR="003705B9" w:rsidRPr="00815699" w:rsidRDefault="002C38C8" w:rsidP="00D57D44">
      <w:pPr>
        <w:autoSpaceDE w:val="0"/>
        <w:autoSpaceDN w:val="0"/>
        <w:adjustRightInd w:val="0"/>
        <w:spacing w:after="0" w:line="360" w:lineRule="auto"/>
        <w:ind w:left="57" w:firstLine="1383"/>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 xml:space="preserve">- </w:t>
      </w:r>
      <w:r w:rsidR="003705B9" w:rsidRPr="00815699">
        <w:rPr>
          <w:rFonts w:ascii="Times New Roman" w:hAnsi="Times New Roman" w:cs="Times New Roman"/>
          <w:sz w:val="24"/>
          <w:szCs w:val="24"/>
          <w:lang w:val="ro-RO"/>
        </w:rPr>
        <w:t>apără drepturile şi interesele legitime</w:t>
      </w:r>
      <w:r w:rsidRPr="00815699">
        <w:rPr>
          <w:rFonts w:ascii="Times New Roman" w:hAnsi="Times New Roman" w:cs="Times New Roman"/>
          <w:sz w:val="24"/>
          <w:szCs w:val="24"/>
          <w:lang w:val="ro-RO"/>
        </w:rPr>
        <w:t xml:space="preserve"> ale minorilor, ale persoanelor</w:t>
      </w:r>
      <w:r w:rsidR="00F94B0E">
        <w:rPr>
          <w:rFonts w:ascii="Times New Roman" w:hAnsi="Times New Roman" w:cs="Times New Roman"/>
          <w:sz w:val="24"/>
          <w:szCs w:val="24"/>
          <w:lang w:val="ro-RO"/>
        </w:rPr>
        <w:t xml:space="preserve"> </w:t>
      </w:r>
      <w:r w:rsidR="003705B9" w:rsidRPr="00815699">
        <w:rPr>
          <w:rFonts w:ascii="Times New Roman" w:hAnsi="Times New Roman" w:cs="Times New Roman"/>
          <w:sz w:val="24"/>
          <w:szCs w:val="24"/>
          <w:lang w:val="ro-RO"/>
        </w:rPr>
        <w:t>puse sub</w:t>
      </w:r>
      <w:r w:rsidR="00F94B0E">
        <w:rPr>
          <w:rFonts w:ascii="Times New Roman" w:hAnsi="Times New Roman" w:cs="Times New Roman"/>
          <w:sz w:val="24"/>
          <w:szCs w:val="24"/>
          <w:lang w:val="ro-RO"/>
        </w:rPr>
        <w:t xml:space="preserve"> </w:t>
      </w:r>
      <w:r w:rsidR="003705B9" w:rsidRPr="00815699">
        <w:rPr>
          <w:rFonts w:ascii="Times New Roman" w:hAnsi="Times New Roman" w:cs="Times New Roman"/>
          <w:sz w:val="24"/>
          <w:szCs w:val="24"/>
          <w:lang w:val="ro-RO"/>
        </w:rPr>
        <w:t>interdicţie, ale dispăruţilor şi ale altor persoane, în condiţiile legii;</w:t>
      </w:r>
    </w:p>
    <w:p w:rsidR="003705B9" w:rsidRPr="00815699" w:rsidRDefault="003705B9" w:rsidP="002C38C8">
      <w:pPr>
        <w:autoSpaceDE w:val="0"/>
        <w:autoSpaceDN w:val="0"/>
        <w:adjustRightInd w:val="0"/>
        <w:spacing w:after="0" w:line="360" w:lineRule="auto"/>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 xml:space="preserve">    </w:t>
      </w:r>
      <w:r w:rsidR="002C38C8" w:rsidRPr="00815699">
        <w:rPr>
          <w:rFonts w:ascii="Times New Roman" w:hAnsi="Times New Roman" w:cs="Times New Roman"/>
          <w:sz w:val="24"/>
          <w:szCs w:val="24"/>
          <w:lang w:val="ro-RO"/>
        </w:rPr>
        <w:tab/>
      </w:r>
      <w:r w:rsidR="002C38C8" w:rsidRPr="00815699">
        <w:rPr>
          <w:rFonts w:ascii="Times New Roman" w:hAnsi="Times New Roman" w:cs="Times New Roman"/>
          <w:sz w:val="24"/>
          <w:szCs w:val="24"/>
          <w:lang w:val="ro-RO"/>
        </w:rPr>
        <w:tab/>
        <w:t>-</w:t>
      </w:r>
      <w:r w:rsidRPr="00815699">
        <w:rPr>
          <w:rFonts w:ascii="Times New Roman" w:hAnsi="Times New Roman" w:cs="Times New Roman"/>
          <w:sz w:val="24"/>
          <w:szCs w:val="24"/>
          <w:lang w:val="ro-RO"/>
        </w:rPr>
        <w:t xml:space="preserve"> verifică respectarea legii la </w:t>
      </w:r>
      <w:r w:rsidR="002C38C8" w:rsidRPr="00815699">
        <w:rPr>
          <w:rFonts w:ascii="Times New Roman" w:hAnsi="Times New Roman" w:cs="Times New Roman"/>
          <w:sz w:val="24"/>
          <w:szCs w:val="24"/>
          <w:lang w:val="ro-RO"/>
        </w:rPr>
        <w:t>locurile de deţinere preventivă.</w:t>
      </w:r>
    </w:p>
    <w:p w:rsidR="00F155B7" w:rsidRPr="00815699" w:rsidRDefault="00F155B7" w:rsidP="002C38C8">
      <w:pPr>
        <w:tabs>
          <w:tab w:val="left" w:pos="1365"/>
        </w:tabs>
        <w:autoSpaceDE w:val="0"/>
        <w:autoSpaceDN w:val="0"/>
        <w:adjustRightInd w:val="0"/>
        <w:spacing w:after="0" w:line="360" w:lineRule="auto"/>
        <w:jc w:val="both"/>
        <w:rPr>
          <w:rFonts w:ascii="Times New Roman" w:hAnsi="Times New Roman" w:cs="Times New Roman"/>
          <w:sz w:val="24"/>
          <w:szCs w:val="24"/>
          <w:lang w:val="ro-RO"/>
        </w:rPr>
      </w:pPr>
    </w:p>
    <w:p w:rsidR="004E250B" w:rsidRPr="00815699" w:rsidRDefault="002C38C8" w:rsidP="002C38C8">
      <w:pPr>
        <w:tabs>
          <w:tab w:val="left" w:pos="960"/>
        </w:tabs>
        <w:autoSpaceDE w:val="0"/>
        <w:autoSpaceDN w:val="0"/>
        <w:adjustRightInd w:val="0"/>
        <w:spacing w:after="0" w:line="360" w:lineRule="auto"/>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ab/>
      </w:r>
      <w:r w:rsidRPr="00D57D44">
        <w:rPr>
          <w:rFonts w:ascii="Times New Roman" w:hAnsi="Times New Roman" w:cs="Times New Roman"/>
          <w:b/>
          <w:sz w:val="24"/>
          <w:szCs w:val="24"/>
          <w:lang w:val="ro-RO"/>
        </w:rPr>
        <w:t>Raportat la principiul imparțialității</w:t>
      </w:r>
      <w:r w:rsidRPr="00815699">
        <w:rPr>
          <w:rFonts w:ascii="Times New Roman" w:hAnsi="Times New Roman" w:cs="Times New Roman"/>
          <w:sz w:val="24"/>
          <w:szCs w:val="24"/>
          <w:lang w:val="ro-RO"/>
        </w:rPr>
        <w:t>, legea prevede că:</w:t>
      </w:r>
    </w:p>
    <w:p w:rsidR="002C38C8" w:rsidRPr="00815699" w:rsidRDefault="002C38C8" w:rsidP="002C38C8">
      <w:pPr>
        <w:autoSpaceDE w:val="0"/>
        <w:autoSpaceDN w:val="0"/>
        <w:adjustRightInd w:val="0"/>
        <w:spacing w:after="0" w:line="360" w:lineRule="auto"/>
        <w:jc w:val="both"/>
        <w:rPr>
          <w:rFonts w:ascii="Times New Roman" w:hAnsi="Times New Roman" w:cs="Times New Roman"/>
          <w:iCs/>
          <w:sz w:val="24"/>
          <w:szCs w:val="24"/>
          <w:lang w:val="ro-RO"/>
        </w:rPr>
      </w:pPr>
      <w:r w:rsidRPr="00815699">
        <w:rPr>
          <w:rFonts w:ascii="Times New Roman" w:hAnsi="Times New Roman" w:cs="Times New Roman"/>
          <w:sz w:val="24"/>
          <w:szCs w:val="24"/>
          <w:lang w:val="ro-RO"/>
        </w:rPr>
        <w:tab/>
      </w:r>
      <w:r w:rsidRPr="00815699">
        <w:rPr>
          <w:rFonts w:ascii="Times New Roman" w:hAnsi="Times New Roman" w:cs="Times New Roman"/>
          <w:sz w:val="24"/>
          <w:szCs w:val="24"/>
          <w:lang w:val="ro-RO"/>
        </w:rPr>
        <w:tab/>
        <w:t>- p</w:t>
      </w:r>
      <w:r w:rsidRPr="00815699">
        <w:rPr>
          <w:rFonts w:ascii="Times New Roman" w:hAnsi="Times New Roman" w:cs="Times New Roman"/>
          <w:iCs/>
          <w:sz w:val="24"/>
          <w:szCs w:val="24"/>
          <w:lang w:val="ro-RO"/>
        </w:rPr>
        <w:t>rocurorii trebuie să respecte drepturile şi libertăţile fundamentale, prezumţia de nevinovăţie, dreptul la un proces echitabil, principiul egalităţii de arme, independenţa instanţelor şi forţa executorie a hotărârilor judecătoreşti definitive;</w:t>
      </w:r>
    </w:p>
    <w:p w:rsidR="002C38C8" w:rsidRPr="00815699" w:rsidRDefault="002C38C8" w:rsidP="002C38C8">
      <w:pPr>
        <w:autoSpaceDE w:val="0"/>
        <w:autoSpaceDN w:val="0"/>
        <w:adjustRightInd w:val="0"/>
        <w:spacing w:after="0" w:line="360" w:lineRule="auto"/>
        <w:ind w:firstLine="1440"/>
        <w:jc w:val="both"/>
        <w:rPr>
          <w:rFonts w:ascii="Times New Roman" w:hAnsi="Times New Roman" w:cs="Times New Roman"/>
          <w:sz w:val="24"/>
          <w:szCs w:val="24"/>
          <w:lang w:val="ro-RO"/>
        </w:rPr>
      </w:pPr>
      <w:r w:rsidRPr="00815699">
        <w:rPr>
          <w:rFonts w:ascii="Times New Roman" w:hAnsi="Times New Roman" w:cs="Times New Roman"/>
          <w:iCs/>
          <w:sz w:val="24"/>
          <w:szCs w:val="24"/>
          <w:lang w:val="ro-RO"/>
        </w:rPr>
        <w:t>- în comunicarea publică, parchetele trebuie să respecte prezumţia de nevinovăţie, caracterul nepublic al urmăririi penale şi dreptul nediscriminatoriu la informare</w:t>
      </w:r>
      <w:r w:rsidR="00D57D44">
        <w:rPr>
          <w:rFonts w:ascii="Times New Roman" w:hAnsi="Times New Roman" w:cs="Times New Roman"/>
          <w:iCs/>
          <w:sz w:val="24"/>
          <w:szCs w:val="24"/>
          <w:lang w:val="ro-RO"/>
        </w:rPr>
        <w:t>;</w:t>
      </w:r>
    </w:p>
    <w:p w:rsidR="002C38C8" w:rsidRPr="00815699" w:rsidRDefault="002C38C8" w:rsidP="002C38C8">
      <w:pPr>
        <w:tabs>
          <w:tab w:val="left" w:pos="960"/>
        </w:tabs>
        <w:autoSpaceDE w:val="0"/>
        <w:autoSpaceDN w:val="0"/>
        <w:adjustRightInd w:val="0"/>
        <w:spacing w:after="0" w:line="360" w:lineRule="auto"/>
        <w:jc w:val="both"/>
        <w:rPr>
          <w:rFonts w:ascii="Times New Roman" w:hAnsi="Times New Roman" w:cs="Times New Roman"/>
          <w:iCs/>
          <w:sz w:val="24"/>
          <w:szCs w:val="24"/>
          <w:lang w:val="ro-RO"/>
        </w:rPr>
      </w:pPr>
      <w:r w:rsidRPr="00815699">
        <w:rPr>
          <w:rFonts w:ascii="Times New Roman" w:hAnsi="Times New Roman" w:cs="Times New Roman"/>
          <w:sz w:val="24"/>
          <w:szCs w:val="24"/>
          <w:lang w:val="ro-RO"/>
        </w:rPr>
        <w:tab/>
      </w:r>
      <w:r w:rsidRPr="00815699">
        <w:rPr>
          <w:rFonts w:ascii="Times New Roman" w:hAnsi="Times New Roman" w:cs="Times New Roman"/>
          <w:sz w:val="24"/>
          <w:szCs w:val="24"/>
          <w:lang w:val="ro-RO"/>
        </w:rPr>
        <w:tab/>
        <w:t xml:space="preserve">- </w:t>
      </w:r>
      <w:r w:rsidRPr="00815699">
        <w:rPr>
          <w:rFonts w:ascii="Times New Roman" w:hAnsi="Times New Roman" w:cs="Times New Roman"/>
          <w:iCs/>
          <w:sz w:val="24"/>
          <w:szCs w:val="24"/>
          <w:lang w:val="ro-RO"/>
        </w:rPr>
        <w:t>în soluţiile dispuse, procurorul este independent, în condiţiile prevăzute de lege;</w:t>
      </w:r>
    </w:p>
    <w:p w:rsidR="002C38C8" w:rsidRPr="00815699" w:rsidRDefault="002C38C8" w:rsidP="002C38C8">
      <w:pPr>
        <w:tabs>
          <w:tab w:val="left" w:pos="960"/>
        </w:tabs>
        <w:autoSpaceDE w:val="0"/>
        <w:autoSpaceDN w:val="0"/>
        <w:adjustRightInd w:val="0"/>
        <w:spacing w:after="0" w:line="360" w:lineRule="auto"/>
        <w:jc w:val="both"/>
        <w:rPr>
          <w:rFonts w:ascii="Times New Roman" w:hAnsi="Times New Roman" w:cs="Times New Roman"/>
          <w:iCs/>
          <w:sz w:val="24"/>
          <w:szCs w:val="24"/>
          <w:lang w:val="ro-RO"/>
        </w:rPr>
      </w:pPr>
      <w:r w:rsidRPr="00815699">
        <w:rPr>
          <w:rFonts w:ascii="Times New Roman" w:hAnsi="Times New Roman" w:cs="Times New Roman"/>
          <w:iCs/>
          <w:sz w:val="24"/>
          <w:szCs w:val="24"/>
          <w:lang w:val="ro-RO"/>
        </w:rPr>
        <w:tab/>
      </w:r>
      <w:r w:rsidRPr="00815699">
        <w:rPr>
          <w:rFonts w:ascii="Times New Roman" w:hAnsi="Times New Roman" w:cs="Times New Roman"/>
          <w:iCs/>
          <w:sz w:val="24"/>
          <w:szCs w:val="24"/>
          <w:lang w:val="ro-RO"/>
        </w:rPr>
        <w:tab/>
        <w:t>- procurorul este liber să prezinte în instanţă concluziile pe care le consideră întemeiate, potrivit legii, ţinând seama de probele administrate în cauză.</w:t>
      </w:r>
    </w:p>
    <w:p w:rsidR="002C38C8" w:rsidRPr="00815699" w:rsidRDefault="002C38C8" w:rsidP="002C38C8">
      <w:pPr>
        <w:tabs>
          <w:tab w:val="left" w:pos="960"/>
        </w:tabs>
        <w:autoSpaceDE w:val="0"/>
        <w:autoSpaceDN w:val="0"/>
        <w:adjustRightInd w:val="0"/>
        <w:spacing w:after="0" w:line="360" w:lineRule="auto"/>
        <w:jc w:val="both"/>
        <w:rPr>
          <w:rFonts w:ascii="Times New Roman" w:hAnsi="Times New Roman" w:cs="Times New Roman"/>
          <w:iCs/>
          <w:sz w:val="24"/>
          <w:szCs w:val="24"/>
          <w:lang w:val="ro-RO"/>
        </w:rPr>
      </w:pPr>
    </w:p>
    <w:p w:rsidR="002C38C8" w:rsidRPr="00815699" w:rsidRDefault="002C38C8" w:rsidP="002C38C8">
      <w:pPr>
        <w:tabs>
          <w:tab w:val="left" w:pos="960"/>
        </w:tabs>
        <w:autoSpaceDE w:val="0"/>
        <w:autoSpaceDN w:val="0"/>
        <w:adjustRightInd w:val="0"/>
        <w:spacing w:after="0" w:line="360" w:lineRule="auto"/>
        <w:jc w:val="both"/>
        <w:rPr>
          <w:rFonts w:ascii="Times New Roman" w:hAnsi="Times New Roman" w:cs="Times New Roman"/>
          <w:sz w:val="24"/>
          <w:szCs w:val="24"/>
          <w:lang w:val="ro-RO"/>
        </w:rPr>
      </w:pPr>
      <w:r w:rsidRPr="00815699">
        <w:rPr>
          <w:rFonts w:ascii="Times New Roman" w:hAnsi="Times New Roman" w:cs="Times New Roman"/>
          <w:iCs/>
          <w:sz w:val="24"/>
          <w:szCs w:val="24"/>
          <w:lang w:val="ro-RO"/>
        </w:rPr>
        <w:tab/>
      </w:r>
      <w:r w:rsidRPr="00D57D44">
        <w:rPr>
          <w:rFonts w:ascii="Times New Roman" w:hAnsi="Times New Roman" w:cs="Times New Roman"/>
          <w:b/>
          <w:iCs/>
          <w:sz w:val="24"/>
          <w:szCs w:val="24"/>
          <w:lang w:val="ro-RO"/>
        </w:rPr>
        <w:t>Raportat la principiul controlului ierarhic</w:t>
      </w:r>
      <w:r w:rsidRPr="00815699">
        <w:rPr>
          <w:rFonts w:ascii="Times New Roman" w:hAnsi="Times New Roman" w:cs="Times New Roman"/>
          <w:iCs/>
          <w:sz w:val="24"/>
          <w:szCs w:val="24"/>
          <w:lang w:val="ro-RO"/>
        </w:rPr>
        <w:t>, legea prevede că:</w:t>
      </w:r>
    </w:p>
    <w:p w:rsidR="002C38C8" w:rsidRPr="00815699" w:rsidRDefault="00D57D44" w:rsidP="00D57D44">
      <w:pPr>
        <w:autoSpaceDE w:val="0"/>
        <w:autoSpaceDN w:val="0"/>
        <w:adjustRightInd w:val="0"/>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2C38C8" w:rsidRPr="00815699">
        <w:rPr>
          <w:rFonts w:ascii="Times New Roman" w:hAnsi="Times New Roman" w:cs="Times New Roman"/>
          <w:sz w:val="24"/>
          <w:szCs w:val="24"/>
          <w:lang w:val="ro-RO"/>
        </w:rPr>
        <w:t xml:space="preserve"> - procurorii din fiecare parchet sunt subordonaţi conducătorului parchetului</w:t>
      </w:r>
      <w:r>
        <w:rPr>
          <w:rFonts w:ascii="Times New Roman" w:hAnsi="Times New Roman" w:cs="Times New Roman"/>
          <w:sz w:val="24"/>
          <w:szCs w:val="24"/>
          <w:lang w:val="ro-RO"/>
        </w:rPr>
        <w:t xml:space="preserve"> </w:t>
      </w:r>
      <w:r w:rsidR="002C38C8" w:rsidRPr="00815699">
        <w:rPr>
          <w:rFonts w:ascii="Times New Roman" w:hAnsi="Times New Roman" w:cs="Times New Roman"/>
          <w:sz w:val="24"/>
          <w:szCs w:val="24"/>
          <w:lang w:val="ro-RO"/>
        </w:rPr>
        <w:t>respectiv</w:t>
      </w:r>
      <w:r>
        <w:rPr>
          <w:rFonts w:ascii="Times New Roman" w:hAnsi="Times New Roman" w:cs="Times New Roman"/>
          <w:sz w:val="24"/>
          <w:szCs w:val="24"/>
          <w:lang w:val="ro-RO"/>
        </w:rPr>
        <w:t>;</w:t>
      </w:r>
    </w:p>
    <w:p w:rsidR="002C38C8" w:rsidRPr="00815699" w:rsidRDefault="002C38C8" w:rsidP="002C38C8">
      <w:pPr>
        <w:autoSpaceDE w:val="0"/>
        <w:autoSpaceDN w:val="0"/>
        <w:adjustRightInd w:val="0"/>
        <w:spacing w:after="0" w:line="360" w:lineRule="auto"/>
        <w:jc w:val="both"/>
        <w:rPr>
          <w:rFonts w:ascii="Times New Roman" w:hAnsi="Times New Roman" w:cs="Times New Roman"/>
          <w:sz w:val="24"/>
          <w:szCs w:val="24"/>
          <w:lang w:val="ro-RO"/>
        </w:rPr>
      </w:pPr>
      <w:r w:rsidRPr="00815699">
        <w:rPr>
          <w:rFonts w:ascii="Times New Roman" w:hAnsi="Times New Roman" w:cs="Times New Roman"/>
          <w:sz w:val="24"/>
          <w:szCs w:val="24"/>
          <w:lang w:val="ro-RO"/>
        </w:rPr>
        <w:tab/>
      </w:r>
      <w:r w:rsidRPr="00815699">
        <w:rPr>
          <w:rFonts w:ascii="Times New Roman" w:hAnsi="Times New Roman" w:cs="Times New Roman"/>
          <w:sz w:val="24"/>
          <w:szCs w:val="24"/>
          <w:lang w:val="ro-RO"/>
        </w:rPr>
        <w:tab/>
        <w:t xml:space="preserve">  - dispoziţiile procurorului ierarhic superior, date în scris şi în conformitate cu legea, sunt obligatorii pentru procurorii din subordine</w:t>
      </w:r>
      <w:r w:rsidR="00D57D44">
        <w:rPr>
          <w:rFonts w:ascii="Times New Roman" w:hAnsi="Times New Roman" w:cs="Times New Roman"/>
          <w:sz w:val="24"/>
          <w:szCs w:val="24"/>
          <w:lang w:val="ro-RO"/>
        </w:rPr>
        <w:t>;</w:t>
      </w:r>
    </w:p>
    <w:p w:rsidR="002C38C8" w:rsidRPr="00815699" w:rsidRDefault="00D57D44" w:rsidP="00D57D44">
      <w:pPr>
        <w:autoSpaceDE w:val="0"/>
        <w:autoSpaceDN w:val="0"/>
        <w:adjustRightInd w:val="0"/>
        <w:spacing w:after="0" w:line="360" w:lineRule="auto"/>
        <w:ind w:firstLine="720"/>
        <w:jc w:val="both"/>
        <w:rPr>
          <w:rFonts w:ascii="Times New Roman" w:hAnsi="Times New Roman" w:cs="Times New Roman"/>
          <w:iCs/>
          <w:sz w:val="24"/>
          <w:szCs w:val="24"/>
          <w:lang w:val="ro-RO"/>
        </w:rPr>
      </w:pPr>
      <w:r>
        <w:rPr>
          <w:rFonts w:ascii="Times New Roman" w:hAnsi="Times New Roman" w:cs="Times New Roman"/>
          <w:sz w:val="24"/>
          <w:szCs w:val="24"/>
          <w:lang w:val="ro-RO"/>
        </w:rPr>
        <w:tab/>
      </w:r>
      <w:r w:rsidR="008C2D1A" w:rsidRPr="00815699">
        <w:rPr>
          <w:rFonts w:ascii="Times New Roman" w:hAnsi="Times New Roman" w:cs="Times New Roman"/>
          <w:sz w:val="24"/>
          <w:szCs w:val="24"/>
          <w:lang w:val="ro-RO"/>
        </w:rPr>
        <w:t>-</w:t>
      </w:r>
      <w:r w:rsidR="008C2D1A" w:rsidRPr="00815699">
        <w:rPr>
          <w:rFonts w:ascii="Times New Roman" w:hAnsi="Times New Roman" w:cs="Times New Roman"/>
          <w:iCs/>
          <w:sz w:val="24"/>
          <w:szCs w:val="24"/>
          <w:lang w:val="ro-RO"/>
        </w:rPr>
        <w:t xml:space="preserve"> soluţiile adoptate de procuror pot fi infirmate motivat de către procurorul ierarhic superior, când sunt apreciate ca fiind nelegale sau netemeinice</w:t>
      </w:r>
      <w:r>
        <w:rPr>
          <w:rFonts w:ascii="Times New Roman" w:hAnsi="Times New Roman" w:cs="Times New Roman"/>
          <w:iCs/>
          <w:sz w:val="24"/>
          <w:szCs w:val="24"/>
          <w:lang w:val="ro-RO"/>
        </w:rPr>
        <w:t>;</w:t>
      </w:r>
    </w:p>
    <w:p w:rsidR="008C2D1A" w:rsidRDefault="008C2D1A" w:rsidP="008C2D1A">
      <w:pPr>
        <w:autoSpaceDE w:val="0"/>
        <w:autoSpaceDN w:val="0"/>
        <w:adjustRightInd w:val="0"/>
        <w:spacing w:after="0" w:line="360" w:lineRule="auto"/>
        <w:ind w:firstLine="1440"/>
        <w:jc w:val="both"/>
        <w:rPr>
          <w:rFonts w:ascii="Times New Roman" w:hAnsi="Times New Roman" w:cs="Times New Roman"/>
          <w:iCs/>
          <w:sz w:val="24"/>
          <w:szCs w:val="24"/>
          <w:lang w:val="ro-RO"/>
        </w:rPr>
      </w:pPr>
      <w:r w:rsidRPr="00815699">
        <w:rPr>
          <w:rFonts w:ascii="Times New Roman" w:hAnsi="Times New Roman" w:cs="Times New Roman"/>
          <w:iCs/>
          <w:sz w:val="24"/>
          <w:szCs w:val="24"/>
          <w:lang w:val="ro-RO"/>
        </w:rPr>
        <w:lastRenderedPageBreak/>
        <w:t>- controlul exercitat de procurorul general al Parchetului de pe lângă Înalta Curte de Casaţie şi Justiţie, de procurorul-şef al Direcţiei Naţionale Anticorupţie, de procurorul-şef al Direcţiei de Investigare a Infracţiunilor de Criminalitate Organizată şi Terorism sau de procurorul general al parchetului de pe lângă curtea de apel asupra procurorilor din subordine se poate realiza direct sau prin procurori anume desemnaţi.</w:t>
      </w:r>
    </w:p>
    <w:p w:rsidR="00E50A12" w:rsidRDefault="00E50A12" w:rsidP="008C2D1A">
      <w:pPr>
        <w:autoSpaceDE w:val="0"/>
        <w:autoSpaceDN w:val="0"/>
        <w:adjustRightInd w:val="0"/>
        <w:spacing w:after="0" w:line="360" w:lineRule="auto"/>
        <w:ind w:firstLine="1440"/>
        <w:jc w:val="both"/>
        <w:rPr>
          <w:rFonts w:ascii="Times New Roman" w:hAnsi="Times New Roman" w:cs="Times New Roman"/>
          <w:b/>
          <w:iCs/>
          <w:sz w:val="24"/>
          <w:szCs w:val="24"/>
          <w:u w:val="single"/>
          <w:lang w:val="ro-RO"/>
        </w:rPr>
      </w:pPr>
    </w:p>
    <w:p w:rsidR="00815699" w:rsidRDefault="007F5D36" w:rsidP="008C2D1A">
      <w:pPr>
        <w:autoSpaceDE w:val="0"/>
        <w:autoSpaceDN w:val="0"/>
        <w:adjustRightInd w:val="0"/>
        <w:spacing w:after="0" w:line="360" w:lineRule="auto"/>
        <w:ind w:firstLine="1440"/>
        <w:jc w:val="both"/>
        <w:rPr>
          <w:rFonts w:ascii="Times New Roman" w:hAnsi="Times New Roman" w:cs="Times New Roman"/>
          <w:b/>
          <w:iCs/>
          <w:sz w:val="24"/>
          <w:szCs w:val="24"/>
          <w:u w:val="single"/>
          <w:lang w:val="ro-RO"/>
        </w:rPr>
      </w:pPr>
      <w:r>
        <w:rPr>
          <w:rFonts w:ascii="Times New Roman" w:hAnsi="Times New Roman" w:cs="Times New Roman"/>
          <w:b/>
          <w:iCs/>
          <w:sz w:val="24"/>
          <w:szCs w:val="24"/>
          <w:u w:val="single"/>
          <w:lang w:val="ro-RO"/>
        </w:rPr>
        <w:t xml:space="preserve">C. </w:t>
      </w:r>
      <w:r w:rsidR="00E50A12" w:rsidRPr="00E50A12">
        <w:rPr>
          <w:rFonts w:ascii="Times New Roman" w:hAnsi="Times New Roman" w:cs="Times New Roman"/>
          <w:b/>
          <w:iCs/>
          <w:sz w:val="24"/>
          <w:szCs w:val="24"/>
          <w:u w:val="single"/>
          <w:lang w:val="ro-RO"/>
        </w:rPr>
        <w:t>Structura Ministerului Public</w:t>
      </w:r>
    </w:p>
    <w:p w:rsidR="00E50A12" w:rsidRDefault="006266A5" w:rsidP="00E50A12">
      <w:pPr>
        <w:tabs>
          <w:tab w:val="left" w:pos="1530"/>
        </w:tabs>
        <w:autoSpaceDE w:val="0"/>
        <w:autoSpaceDN w:val="0"/>
        <w:adjustRightInd w:val="0"/>
        <w:spacing w:after="0" w:line="360" w:lineRule="auto"/>
        <w:jc w:val="both"/>
        <w:rPr>
          <w:rFonts w:ascii="Times New Roman" w:hAnsi="Times New Roman" w:cs="Times New Roman"/>
          <w:iCs/>
          <w:sz w:val="24"/>
          <w:szCs w:val="24"/>
          <w:lang w:val="ro-RO"/>
        </w:rPr>
      </w:pPr>
      <w:r>
        <w:rPr>
          <w:rFonts w:ascii="Times New Roman" w:hAnsi="Times New Roman" w:cs="Times New Roman"/>
          <w:iCs/>
          <w:sz w:val="24"/>
          <w:szCs w:val="24"/>
          <w:lang w:val="ro-RO"/>
        </w:rPr>
        <w:tab/>
      </w:r>
      <w:r w:rsidR="00E50A12">
        <w:rPr>
          <w:rFonts w:ascii="Times New Roman" w:hAnsi="Times New Roman" w:cs="Times New Roman"/>
          <w:iCs/>
          <w:sz w:val="24"/>
          <w:szCs w:val="24"/>
          <w:lang w:val="ro-RO"/>
        </w:rPr>
        <w:t>Ministerul Public presupune o ierarhie și o organizare pe vericală, în vârf situându-se Parchetul se pe lângă Înalta Curte de Casație și Justiție. În interiorul său se regăsesc două stucturi autonome – Direcția de Investigarea a Infracțiunilor de Criminalitate Organizată și Terorism (DIICOT), respectiv Direcția Națională Anticorupție (DNA). Acestea sunt conduse de procurori-șefi</w:t>
      </w:r>
      <w:r w:rsidR="007F5D36">
        <w:rPr>
          <w:rFonts w:ascii="Times New Roman" w:hAnsi="Times New Roman" w:cs="Times New Roman"/>
          <w:iCs/>
          <w:sz w:val="24"/>
          <w:szCs w:val="24"/>
          <w:lang w:val="ro-RO"/>
        </w:rPr>
        <w:t>,</w:t>
      </w:r>
      <w:r w:rsidR="00E50A12">
        <w:rPr>
          <w:rFonts w:ascii="Times New Roman" w:hAnsi="Times New Roman" w:cs="Times New Roman"/>
          <w:iCs/>
          <w:sz w:val="24"/>
          <w:szCs w:val="24"/>
          <w:lang w:val="ro-RO"/>
        </w:rPr>
        <w:t xml:space="preserve"> asimilați prim-adjunctului Procurorului Gener</w:t>
      </w:r>
      <w:r w:rsidR="007F5D36">
        <w:rPr>
          <w:rFonts w:ascii="Times New Roman" w:hAnsi="Times New Roman" w:cs="Times New Roman"/>
          <w:iCs/>
          <w:sz w:val="24"/>
          <w:szCs w:val="24"/>
          <w:lang w:val="ro-RO"/>
        </w:rPr>
        <w:t>a</w:t>
      </w:r>
      <w:r w:rsidR="00E50A12">
        <w:rPr>
          <w:rFonts w:ascii="Times New Roman" w:hAnsi="Times New Roman" w:cs="Times New Roman"/>
          <w:iCs/>
          <w:sz w:val="24"/>
          <w:szCs w:val="24"/>
          <w:lang w:val="ro-RO"/>
        </w:rPr>
        <w:t>l al PÎCCJ. În directa subordine a Procurorului General se află procurorii generali ai parchetelor de pe lângă curțile de apel, apoi, ierahic, prim-procurorii parchetelor de pe lângă tribunale (incluzând și tribunale de minori și familie</w:t>
      </w:r>
      <w:r w:rsidR="00A54CBA">
        <w:rPr>
          <w:rFonts w:ascii="Times New Roman" w:hAnsi="Times New Roman" w:cs="Times New Roman"/>
          <w:iCs/>
          <w:sz w:val="24"/>
          <w:szCs w:val="24"/>
          <w:lang w:val="ro-RO"/>
        </w:rPr>
        <w:t>)</w:t>
      </w:r>
      <w:r w:rsidR="00E50A12">
        <w:rPr>
          <w:rFonts w:ascii="Times New Roman" w:hAnsi="Times New Roman" w:cs="Times New Roman"/>
          <w:iCs/>
          <w:sz w:val="24"/>
          <w:szCs w:val="24"/>
          <w:lang w:val="ro-RO"/>
        </w:rPr>
        <w:t xml:space="preserve"> și prim-procurorii parchetelor de pe lângă judecătorii.</w:t>
      </w:r>
      <w:r w:rsidR="00A54CBA">
        <w:rPr>
          <w:rFonts w:ascii="Times New Roman" w:hAnsi="Times New Roman" w:cs="Times New Roman"/>
          <w:iCs/>
          <w:sz w:val="24"/>
          <w:szCs w:val="24"/>
          <w:lang w:val="ro-RO"/>
        </w:rPr>
        <w:t xml:space="preserve"> Până la nivelul parchetelor de pe lângă tribunale inclusiv func</w:t>
      </w:r>
      <w:r w:rsidR="007F5D36">
        <w:rPr>
          <w:rFonts w:ascii="Times New Roman" w:hAnsi="Times New Roman" w:cs="Times New Roman"/>
          <w:iCs/>
          <w:sz w:val="24"/>
          <w:szCs w:val="24"/>
          <w:lang w:val="ro-RO"/>
        </w:rPr>
        <w:t>ț</w:t>
      </w:r>
      <w:r w:rsidR="00A54CBA">
        <w:rPr>
          <w:rFonts w:ascii="Times New Roman" w:hAnsi="Times New Roman" w:cs="Times New Roman"/>
          <w:iCs/>
          <w:sz w:val="24"/>
          <w:szCs w:val="24"/>
          <w:lang w:val="ro-RO"/>
        </w:rPr>
        <w:t>ioneaz</w:t>
      </w:r>
      <w:r w:rsidR="007F5D36">
        <w:rPr>
          <w:rFonts w:ascii="Times New Roman" w:hAnsi="Times New Roman" w:cs="Times New Roman"/>
          <w:iCs/>
          <w:sz w:val="24"/>
          <w:szCs w:val="24"/>
          <w:lang w:val="ro-RO"/>
        </w:rPr>
        <w:t>ă</w:t>
      </w:r>
      <w:r w:rsidR="00A54CBA">
        <w:rPr>
          <w:rFonts w:ascii="Times New Roman" w:hAnsi="Times New Roman" w:cs="Times New Roman"/>
          <w:iCs/>
          <w:sz w:val="24"/>
          <w:szCs w:val="24"/>
          <w:lang w:val="ro-RO"/>
        </w:rPr>
        <w:t xml:space="preserve"> secții, conduse de procurori-șefi. Deciziile administrative sunt luate, în general, de colegiile de conducere ale parchetelor. În Ministerul Public, dar cu finanțarea Ministerului Apărării Naționale, funcționează parchetele militare, în frunte cu Secția Parchetelor Militare din cadrul PÎCCJ.</w:t>
      </w:r>
    </w:p>
    <w:p w:rsidR="00A54CBA" w:rsidRPr="00A54CBA" w:rsidRDefault="00A54CBA" w:rsidP="00A54CBA">
      <w:pPr>
        <w:tabs>
          <w:tab w:val="left" w:pos="1530"/>
        </w:tabs>
        <w:autoSpaceDE w:val="0"/>
        <w:autoSpaceDN w:val="0"/>
        <w:adjustRightInd w:val="0"/>
        <w:spacing w:after="0" w:line="360" w:lineRule="auto"/>
        <w:jc w:val="both"/>
        <w:rPr>
          <w:rFonts w:ascii="Times New Roman" w:hAnsi="Times New Roman" w:cs="Times New Roman"/>
          <w:iCs/>
          <w:sz w:val="24"/>
          <w:szCs w:val="24"/>
          <w:lang w:val="ro-RO"/>
        </w:rPr>
      </w:pPr>
      <w:r>
        <w:rPr>
          <w:rFonts w:ascii="Times New Roman" w:hAnsi="Times New Roman" w:cs="Times New Roman"/>
          <w:iCs/>
          <w:sz w:val="24"/>
          <w:szCs w:val="24"/>
          <w:lang w:val="ro-RO"/>
        </w:rPr>
        <w:tab/>
      </w:r>
      <w:r w:rsidRPr="00A54CBA">
        <w:rPr>
          <w:rFonts w:ascii="Times New Roman" w:hAnsi="Times New Roman" w:cs="Times New Roman"/>
          <w:iCs/>
          <w:sz w:val="24"/>
          <w:szCs w:val="24"/>
          <w:lang w:val="ro-RO"/>
        </w:rPr>
        <w:t>În prezent, în cadrul Ministerului Public funcţionează: 15 parchete de pe lângă curţile de apel, 43 parchete de pe lângă tribunale (inclusiv Parchetul de pe lângă Tribunalul pentru Minori şi Familie Braşov) și 176 parchete de pe lângă judecătorii.</w:t>
      </w:r>
    </w:p>
    <w:p w:rsidR="00A54CBA" w:rsidRPr="00E50A12" w:rsidRDefault="00A54CBA" w:rsidP="00E50A12">
      <w:pPr>
        <w:tabs>
          <w:tab w:val="left" w:pos="1530"/>
        </w:tabs>
        <w:autoSpaceDE w:val="0"/>
        <w:autoSpaceDN w:val="0"/>
        <w:adjustRightInd w:val="0"/>
        <w:spacing w:after="0" w:line="360" w:lineRule="auto"/>
        <w:jc w:val="both"/>
        <w:rPr>
          <w:rFonts w:ascii="Times New Roman" w:hAnsi="Times New Roman" w:cs="Times New Roman"/>
          <w:iCs/>
          <w:sz w:val="24"/>
          <w:szCs w:val="24"/>
          <w:lang w:val="ro-RO"/>
        </w:rPr>
      </w:pPr>
    </w:p>
    <w:p w:rsidR="00815699" w:rsidRDefault="007F5D36" w:rsidP="008C2D1A">
      <w:pPr>
        <w:autoSpaceDE w:val="0"/>
        <w:autoSpaceDN w:val="0"/>
        <w:adjustRightInd w:val="0"/>
        <w:spacing w:after="0" w:line="360" w:lineRule="auto"/>
        <w:ind w:firstLine="1440"/>
        <w:jc w:val="both"/>
        <w:rPr>
          <w:rFonts w:ascii="Times New Roman" w:hAnsi="Times New Roman" w:cs="Times New Roman"/>
          <w:b/>
          <w:iCs/>
          <w:sz w:val="24"/>
          <w:szCs w:val="24"/>
          <w:u w:val="single"/>
          <w:lang w:val="ro-RO"/>
        </w:rPr>
      </w:pPr>
      <w:r>
        <w:rPr>
          <w:rFonts w:ascii="Times New Roman" w:hAnsi="Times New Roman" w:cs="Times New Roman"/>
          <w:b/>
          <w:iCs/>
          <w:sz w:val="24"/>
          <w:szCs w:val="24"/>
          <w:u w:val="single"/>
          <w:lang w:val="ro-RO"/>
        </w:rPr>
        <w:t xml:space="preserve">D. </w:t>
      </w:r>
      <w:r w:rsidR="00815699" w:rsidRPr="00815699">
        <w:rPr>
          <w:rFonts w:ascii="Times New Roman" w:hAnsi="Times New Roman" w:cs="Times New Roman"/>
          <w:b/>
          <w:iCs/>
          <w:sz w:val="24"/>
          <w:szCs w:val="24"/>
          <w:u w:val="single"/>
          <w:lang w:val="ro-RO"/>
        </w:rPr>
        <w:t>Procurorul General al Parchetului de pe lângă În</w:t>
      </w:r>
      <w:r w:rsidR="00815699">
        <w:rPr>
          <w:rFonts w:ascii="Times New Roman" w:hAnsi="Times New Roman" w:cs="Times New Roman"/>
          <w:b/>
          <w:iCs/>
          <w:sz w:val="24"/>
          <w:szCs w:val="24"/>
          <w:u w:val="single"/>
          <w:lang w:val="ro-RO"/>
        </w:rPr>
        <w:t xml:space="preserve">alta Curte de Casație </w:t>
      </w:r>
      <w:r>
        <w:rPr>
          <w:rFonts w:ascii="Times New Roman" w:hAnsi="Times New Roman" w:cs="Times New Roman"/>
          <w:b/>
          <w:iCs/>
          <w:sz w:val="24"/>
          <w:szCs w:val="24"/>
          <w:u w:val="single"/>
          <w:lang w:val="ro-RO"/>
        </w:rPr>
        <w:t>ș</w:t>
      </w:r>
      <w:r w:rsidR="00815699">
        <w:rPr>
          <w:rFonts w:ascii="Times New Roman" w:hAnsi="Times New Roman" w:cs="Times New Roman"/>
          <w:b/>
          <w:iCs/>
          <w:sz w:val="24"/>
          <w:szCs w:val="24"/>
          <w:u w:val="single"/>
          <w:lang w:val="ro-RO"/>
        </w:rPr>
        <w:t>i Justi</w:t>
      </w:r>
      <w:r w:rsidR="00815699" w:rsidRPr="00815699">
        <w:rPr>
          <w:rFonts w:ascii="Times New Roman" w:hAnsi="Times New Roman" w:cs="Times New Roman"/>
          <w:b/>
          <w:iCs/>
          <w:sz w:val="24"/>
          <w:szCs w:val="24"/>
          <w:u w:val="single"/>
          <w:lang w:val="ro-RO"/>
        </w:rPr>
        <w:t>ție</w:t>
      </w:r>
    </w:p>
    <w:p w:rsidR="00815699" w:rsidRPr="00A54CBA" w:rsidRDefault="00815699" w:rsidP="00A54CBA">
      <w:pPr>
        <w:autoSpaceDE w:val="0"/>
        <w:autoSpaceDN w:val="0"/>
        <w:adjustRightInd w:val="0"/>
        <w:spacing w:after="0" w:line="360" w:lineRule="auto"/>
        <w:ind w:firstLine="1440"/>
        <w:jc w:val="both"/>
        <w:rPr>
          <w:rFonts w:ascii="Times New Roman" w:hAnsi="Times New Roman" w:cs="Times New Roman"/>
          <w:iCs/>
          <w:sz w:val="24"/>
          <w:szCs w:val="24"/>
          <w:lang w:val="ro-RO"/>
        </w:rPr>
      </w:pPr>
      <w:r w:rsidRPr="00815699">
        <w:rPr>
          <w:rFonts w:ascii="Times New Roman" w:hAnsi="Times New Roman" w:cs="Times New Roman"/>
          <w:iCs/>
          <w:sz w:val="24"/>
          <w:szCs w:val="24"/>
          <w:lang w:val="ro-RO"/>
        </w:rPr>
        <w:t>Minist</w:t>
      </w:r>
      <w:r w:rsidR="008C2D1A" w:rsidRPr="00815699">
        <w:rPr>
          <w:rFonts w:ascii="Times New Roman" w:hAnsi="Times New Roman" w:cs="Times New Roman"/>
          <w:iCs/>
          <w:sz w:val="24"/>
          <w:szCs w:val="24"/>
          <w:lang w:val="ro-RO"/>
        </w:rPr>
        <w:t xml:space="preserve">erul </w:t>
      </w:r>
      <w:r w:rsidRPr="00815699">
        <w:rPr>
          <w:rFonts w:ascii="Times New Roman" w:hAnsi="Times New Roman" w:cs="Times New Roman"/>
          <w:iCs/>
          <w:sz w:val="24"/>
          <w:szCs w:val="24"/>
          <w:lang w:val="ro-RO"/>
        </w:rPr>
        <w:t>P</w:t>
      </w:r>
      <w:r w:rsidR="00E50A12">
        <w:rPr>
          <w:rFonts w:ascii="Times New Roman" w:hAnsi="Times New Roman" w:cs="Times New Roman"/>
          <w:iCs/>
          <w:sz w:val="24"/>
          <w:szCs w:val="24"/>
          <w:lang w:val="ro-RO"/>
        </w:rPr>
        <w:t>ublic este organizat în sistem</w:t>
      </w:r>
      <w:r w:rsidR="008C2D1A" w:rsidRPr="00815699">
        <w:rPr>
          <w:rFonts w:ascii="Times New Roman" w:hAnsi="Times New Roman" w:cs="Times New Roman"/>
          <w:iCs/>
          <w:sz w:val="24"/>
          <w:szCs w:val="24"/>
          <w:lang w:val="ro-RO"/>
        </w:rPr>
        <w:t xml:space="preserve"> piramidal, în fruntea sistemului aflându-se Procurorul General al Parchetului de pe lângă Înalta Curte de Casație și Justiție, ajutat de un prim-adjunct și un adjunct. </w:t>
      </w:r>
      <w:r w:rsidR="00E916C6">
        <w:rPr>
          <w:rFonts w:ascii="Times New Roman" w:hAnsi="Times New Roman" w:cs="Times New Roman"/>
          <w:iCs/>
          <w:sz w:val="24"/>
          <w:szCs w:val="24"/>
          <w:lang w:val="ro-RO"/>
        </w:rPr>
        <w:t>Procurorul General conduce un minister fără portofoliu guvernamental și este asimilat ca rang unui ministru, deși funcția sa nu se regăsește deloc în puterea executivă, ci e</w:t>
      </w:r>
      <w:r w:rsidR="007F5D36">
        <w:rPr>
          <w:rFonts w:ascii="Times New Roman" w:hAnsi="Times New Roman" w:cs="Times New Roman"/>
          <w:iCs/>
          <w:sz w:val="24"/>
          <w:szCs w:val="24"/>
          <w:lang w:val="ro-RO"/>
        </w:rPr>
        <w:t>xc</w:t>
      </w:r>
      <w:r w:rsidR="00E916C6">
        <w:rPr>
          <w:rFonts w:ascii="Times New Roman" w:hAnsi="Times New Roman" w:cs="Times New Roman"/>
          <w:iCs/>
          <w:sz w:val="24"/>
          <w:szCs w:val="24"/>
          <w:lang w:val="ro-RO"/>
        </w:rPr>
        <w:t xml:space="preserve">lusiv în cea judecătorească. Aceasta deoarece fiecare procuror aflat sub controlul său este reprezentantul interesului general, al societății, exercită acțiuni penale în numele societății și promovează acțiuni civile pentru categorii sociale defavorizate. De asemenea, răspunderea sa este exclusiv în fața puterii judecătorești. </w:t>
      </w:r>
      <w:r w:rsidR="00A54CBA" w:rsidRPr="00A54CBA">
        <w:rPr>
          <w:rFonts w:ascii="Times New Roman" w:hAnsi="Times New Roman" w:cs="Times New Roman"/>
          <w:iCs/>
          <w:sz w:val="24"/>
          <w:szCs w:val="24"/>
          <w:lang w:val="ro-RO"/>
        </w:rPr>
        <w:t xml:space="preserve">Procurorul general al Parchetului de pe lângă Înalta Curte de Casaţie şi Justiţie exercită, direct sau prin procurori anume desemnaţi, controlul asupra tuturor </w:t>
      </w:r>
      <w:r w:rsidR="00A54CBA" w:rsidRPr="00A54CBA">
        <w:rPr>
          <w:rFonts w:ascii="Times New Roman" w:hAnsi="Times New Roman" w:cs="Times New Roman"/>
          <w:iCs/>
          <w:sz w:val="24"/>
          <w:szCs w:val="24"/>
          <w:lang w:val="ro-RO"/>
        </w:rPr>
        <w:lastRenderedPageBreak/>
        <w:t>parchetelor. Acesta reprezintă Ministerul Public în relaţiile cu celelalte autorităţi publice şi cu orice persoane juridice sau fizice din ţară sau din străinătate. Procurorul general al Parchetului de pe lângă Înalta Curte de Casație și Justiție este membru de drept al Consiliului Superior al Magistraturii.</w:t>
      </w:r>
    </w:p>
    <w:p w:rsidR="0021244D" w:rsidRDefault="0021244D" w:rsidP="00815699">
      <w:pPr>
        <w:pStyle w:val="NormalWeb"/>
        <w:shd w:val="clear" w:color="auto" w:fill="FFFFFF"/>
        <w:spacing w:before="0" w:beforeAutospacing="0" w:after="0" w:afterAutospacing="0" w:line="360" w:lineRule="auto"/>
        <w:jc w:val="both"/>
      </w:pPr>
    </w:p>
    <w:p w:rsidR="0021244D" w:rsidRDefault="00A125AB" w:rsidP="0021244D">
      <w:pPr>
        <w:pStyle w:val="NormalWeb"/>
        <w:shd w:val="clear" w:color="auto" w:fill="FFFFFF"/>
        <w:spacing w:before="0" w:beforeAutospacing="0" w:after="0" w:afterAutospacing="0" w:line="360" w:lineRule="auto"/>
        <w:ind w:left="720" w:firstLine="720"/>
        <w:jc w:val="both"/>
        <w:rPr>
          <w:b/>
          <w:u w:val="single"/>
        </w:rPr>
      </w:pPr>
      <w:r>
        <w:rPr>
          <w:b/>
          <w:u w:val="single"/>
        </w:rPr>
        <w:t xml:space="preserve">E. </w:t>
      </w:r>
      <w:r w:rsidR="0021244D" w:rsidRPr="0021244D">
        <w:rPr>
          <w:b/>
          <w:u w:val="single"/>
        </w:rPr>
        <w:t xml:space="preserve">Raportul </w:t>
      </w:r>
      <w:r w:rsidR="0021244D">
        <w:rPr>
          <w:b/>
          <w:u w:val="single"/>
        </w:rPr>
        <w:t xml:space="preserve">de activitate </w:t>
      </w:r>
      <w:r w:rsidR="0021244D" w:rsidRPr="0021244D">
        <w:rPr>
          <w:b/>
          <w:u w:val="single"/>
        </w:rPr>
        <w:t xml:space="preserve">pe anul 2018 al Ministerului Public </w:t>
      </w:r>
    </w:p>
    <w:p w:rsidR="00815699" w:rsidRDefault="0021244D" w:rsidP="00815699">
      <w:pPr>
        <w:pStyle w:val="NormalWeb"/>
        <w:shd w:val="clear" w:color="auto" w:fill="FFFFFF"/>
        <w:spacing w:before="0" w:beforeAutospacing="0" w:after="0" w:afterAutospacing="0" w:line="360" w:lineRule="auto"/>
        <w:jc w:val="both"/>
        <w:rPr>
          <w:lang w:val="ro-RO"/>
        </w:rPr>
      </w:pPr>
      <w:r>
        <w:rPr>
          <w:lang w:val="ro-RO"/>
        </w:rPr>
        <w:tab/>
      </w:r>
      <w:r>
        <w:rPr>
          <w:lang w:val="ro-RO"/>
        </w:rPr>
        <w:tab/>
        <w:t>Raportul anual de activitate al Ministerului Public reprezintă în egală m</w:t>
      </w:r>
      <w:r w:rsidR="00A125AB">
        <w:rPr>
          <w:lang w:val="ro-RO"/>
        </w:rPr>
        <w:t>ă</w:t>
      </w:r>
      <w:r>
        <w:rPr>
          <w:lang w:val="ro-RO"/>
        </w:rPr>
        <w:t>sură o prezentare a rezultatelor parchetelor din România, o prezentare sintetică a schemelor de personal și a repartiției lor pe teritoriul național, dar și un instrument eficient și util managementului întreprins de Procurorul General și echipa acestuia în compararea datelor cu anii anteriori, în statistici care trebuie confruntate cu alte autorități sau cu parteneri internaționali. De asemenea, raportul de activitate este un instrument util activității de control pe</w:t>
      </w:r>
      <w:r w:rsidR="00A54CBA">
        <w:rPr>
          <w:lang w:val="ro-RO"/>
        </w:rPr>
        <w:t>ntru</w:t>
      </w:r>
      <w:r>
        <w:rPr>
          <w:lang w:val="ro-RO"/>
        </w:rPr>
        <w:t xml:space="preserve"> anul respectiv. </w:t>
      </w:r>
    </w:p>
    <w:p w:rsidR="004B6D94" w:rsidRPr="00815699" w:rsidRDefault="004B6D94" w:rsidP="00815699">
      <w:pPr>
        <w:pStyle w:val="NormalWeb"/>
        <w:shd w:val="clear" w:color="auto" w:fill="FFFFFF"/>
        <w:spacing w:before="0" w:beforeAutospacing="0" w:after="0" w:afterAutospacing="0" w:line="360" w:lineRule="auto"/>
        <w:jc w:val="both"/>
        <w:rPr>
          <w:lang w:val="ro-RO"/>
        </w:rPr>
      </w:pPr>
    </w:p>
    <w:p w:rsidR="00815699" w:rsidRPr="00D04C5B" w:rsidRDefault="00A125AB" w:rsidP="004B6D94">
      <w:pPr>
        <w:autoSpaceDE w:val="0"/>
        <w:autoSpaceDN w:val="0"/>
        <w:adjustRightInd w:val="0"/>
        <w:spacing w:after="0" w:line="360" w:lineRule="auto"/>
        <w:ind w:firstLine="1440"/>
        <w:jc w:val="both"/>
        <w:rPr>
          <w:rFonts w:ascii="Times New Roman" w:hAnsi="Times New Roman" w:cs="Times New Roman"/>
          <w:b/>
          <w:sz w:val="24"/>
          <w:szCs w:val="24"/>
          <w:u w:val="single"/>
          <w:lang w:val="ro-RO"/>
        </w:rPr>
      </w:pPr>
      <w:r>
        <w:rPr>
          <w:rFonts w:ascii="Times New Roman" w:hAnsi="Times New Roman" w:cs="Times New Roman"/>
          <w:b/>
          <w:sz w:val="24"/>
          <w:szCs w:val="24"/>
          <w:u w:val="single"/>
          <w:lang w:val="ro-RO"/>
        </w:rPr>
        <w:t>a</w:t>
      </w:r>
      <w:r w:rsidR="004B6D94" w:rsidRPr="00D04C5B">
        <w:rPr>
          <w:rFonts w:ascii="Times New Roman" w:hAnsi="Times New Roman" w:cs="Times New Roman"/>
          <w:b/>
          <w:sz w:val="24"/>
          <w:szCs w:val="24"/>
          <w:u w:val="single"/>
          <w:lang w:val="ro-RO"/>
        </w:rPr>
        <w:t>. Activitatea de urmărire penală și supraveghere</w:t>
      </w:r>
    </w:p>
    <w:p w:rsidR="004B6D94" w:rsidRPr="004B6D94" w:rsidRDefault="004B6D94" w:rsidP="00A125AB">
      <w:pPr>
        <w:tabs>
          <w:tab w:val="left" w:pos="1275"/>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rPr>
        <w:tab/>
      </w:r>
      <w:r w:rsidRPr="004B6D94">
        <w:rPr>
          <w:rFonts w:ascii="Times New Roman" w:hAnsi="Times New Roman" w:cs="Times New Roman"/>
          <w:sz w:val="24"/>
          <w:szCs w:val="24"/>
          <w:lang w:val="ro-RO"/>
        </w:rPr>
        <w:t xml:space="preserve">În anul 2018, parchetele și-au desfășurat activitatea în condiții aproape similare cu cele ale anului 2017, cu o ușoară tendință de creștere a numărului de cauze avute spre soluționare, </w:t>
      </w:r>
      <w:r w:rsidRPr="004B6D94">
        <w:rPr>
          <w:rFonts w:ascii="Times New Roman" w:hAnsi="Times New Roman" w:cs="Times New Roman"/>
          <w:b/>
          <w:bCs/>
          <w:sz w:val="24"/>
          <w:szCs w:val="24"/>
          <w:lang w:val="ro-RO"/>
        </w:rPr>
        <w:t xml:space="preserve">1.753.540 </w:t>
      </w:r>
      <w:r w:rsidRPr="004B6D94">
        <w:rPr>
          <w:rFonts w:ascii="Times New Roman" w:hAnsi="Times New Roman" w:cs="Times New Roman"/>
          <w:sz w:val="24"/>
          <w:szCs w:val="24"/>
          <w:lang w:val="ro-RO"/>
        </w:rPr>
        <w:t xml:space="preserve">cauze (cu 1.473 mai mult decât în anul 2017), din care </w:t>
      </w:r>
      <w:r w:rsidRPr="004B6D94">
        <w:rPr>
          <w:rFonts w:ascii="Times New Roman" w:hAnsi="Times New Roman" w:cs="Times New Roman"/>
          <w:b/>
          <w:bCs/>
          <w:sz w:val="24"/>
          <w:szCs w:val="24"/>
          <w:lang w:val="ro-RO"/>
        </w:rPr>
        <w:t xml:space="preserve">1.032 </w:t>
      </w:r>
      <w:r w:rsidRPr="004B6D94">
        <w:rPr>
          <w:rFonts w:ascii="Times New Roman" w:hAnsi="Times New Roman" w:cs="Times New Roman"/>
          <w:sz w:val="24"/>
          <w:szCs w:val="24"/>
          <w:lang w:val="ro-RO"/>
        </w:rPr>
        <w:t xml:space="preserve">la Secția de urmărire penală și criminalistică a Parchetului de pe lângă Înalta Curte de Casație și Justiție (cu 120 mai puțin decât în anul 2017) </w:t>
      </w:r>
      <w:r w:rsidRPr="004B6D94">
        <w:rPr>
          <w:rFonts w:ascii="Times New Roman" w:hAnsi="Times New Roman" w:cs="Times New Roman"/>
          <w:b/>
          <w:bCs/>
          <w:sz w:val="24"/>
          <w:szCs w:val="24"/>
          <w:lang w:val="ro-RO"/>
        </w:rPr>
        <w:t xml:space="preserve">1.422 </w:t>
      </w:r>
      <w:r w:rsidRPr="004B6D94">
        <w:rPr>
          <w:rFonts w:ascii="Times New Roman" w:hAnsi="Times New Roman" w:cs="Times New Roman"/>
          <w:sz w:val="24"/>
          <w:szCs w:val="24"/>
          <w:lang w:val="ro-RO"/>
        </w:rPr>
        <w:t xml:space="preserve">la Secția pentru investigarea infracțiunilor din justiție și </w:t>
      </w:r>
      <w:r w:rsidRPr="004B6D94">
        <w:rPr>
          <w:rFonts w:ascii="Times New Roman" w:hAnsi="Times New Roman" w:cs="Times New Roman"/>
          <w:b/>
          <w:bCs/>
          <w:sz w:val="24"/>
          <w:szCs w:val="24"/>
          <w:lang w:val="ro-RO"/>
        </w:rPr>
        <w:t xml:space="preserve">4.435 </w:t>
      </w:r>
      <w:r w:rsidRPr="004B6D94">
        <w:rPr>
          <w:rFonts w:ascii="Times New Roman" w:hAnsi="Times New Roman" w:cs="Times New Roman"/>
          <w:sz w:val="24"/>
          <w:szCs w:val="24"/>
          <w:lang w:val="ro-RO"/>
        </w:rPr>
        <w:t>cauze la parchetele militare (cu 333 mai multe decât în 2017</w:t>
      </w:r>
      <w:r w:rsidR="00A125AB">
        <w:rPr>
          <w:rFonts w:ascii="Times New Roman" w:hAnsi="Times New Roman" w:cs="Times New Roman"/>
          <w:sz w:val="24"/>
          <w:szCs w:val="24"/>
          <w:lang w:val="ro-RO"/>
        </w:rPr>
        <w:t xml:space="preserve">) </w:t>
      </w:r>
      <w:r w:rsidRPr="004B6D94">
        <w:rPr>
          <w:rFonts w:ascii="Times New Roman" w:hAnsi="Times New Roman" w:cs="Times New Roman"/>
          <w:sz w:val="24"/>
          <w:szCs w:val="24"/>
          <w:lang w:val="ro-RO"/>
        </w:rPr>
        <w:t xml:space="preserve">din care 51 la Secția parchetelor militare din cadrul Parchetului de pe lângă Înalta Curte de Casație și Justiție </w:t>
      </w:r>
      <w:r w:rsidR="00A125AB">
        <w:rPr>
          <w:rFonts w:ascii="Times New Roman" w:hAnsi="Times New Roman" w:cs="Times New Roman"/>
          <w:sz w:val="24"/>
          <w:szCs w:val="24"/>
          <w:lang w:val="ro-RO"/>
        </w:rPr>
        <w:t>(</w:t>
      </w:r>
      <w:r w:rsidRPr="004B6D94">
        <w:rPr>
          <w:rFonts w:ascii="Times New Roman" w:hAnsi="Times New Roman" w:cs="Times New Roman"/>
          <w:sz w:val="24"/>
          <w:szCs w:val="24"/>
          <w:lang w:val="ro-RO"/>
        </w:rPr>
        <w:t xml:space="preserve">cu 4 mai multe decât în 2017). </w:t>
      </w:r>
    </w:p>
    <w:p w:rsidR="004B6D94" w:rsidRPr="004B6D94" w:rsidRDefault="004B6D94" w:rsidP="00A125AB">
      <w:pPr>
        <w:tabs>
          <w:tab w:val="left" w:pos="1275"/>
        </w:tabs>
        <w:spacing w:after="0" w:line="360" w:lineRule="auto"/>
        <w:jc w:val="both"/>
        <w:rPr>
          <w:rFonts w:ascii="Times New Roman" w:hAnsi="Times New Roman" w:cs="Times New Roman"/>
          <w:sz w:val="24"/>
          <w:szCs w:val="24"/>
          <w:lang w:val="ro-RO"/>
        </w:rPr>
      </w:pPr>
      <w:r w:rsidRPr="004B6D94">
        <w:rPr>
          <w:rFonts w:ascii="Times New Roman" w:hAnsi="Times New Roman" w:cs="Times New Roman"/>
          <w:sz w:val="24"/>
          <w:szCs w:val="24"/>
          <w:lang w:val="ro-RO"/>
        </w:rPr>
        <w:tab/>
        <w:t xml:space="preserve">În aceeași perioadă au fost soluționate </w:t>
      </w:r>
      <w:r w:rsidRPr="004B6D94">
        <w:rPr>
          <w:rFonts w:ascii="Times New Roman" w:hAnsi="Times New Roman" w:cs="Times New Roman"/>
          <w:b/>
          <w:bCs/>
          <w:sz w:val="24"/>
          <w:szCs w:val="24"/>
          <w:lang w:val="ro-RO"/>
        </w:rPr>
        <w:t xml:space="preserve">543.971 </w:t>
      </w:r>
      <w:r w:rsidRPr="004B6D94">
        <w:rPr>
          <w:rFonts w:ascii="Times New Roman" w:hAnsi="Times New Roman" w:cs="Times New Roman"/>
          <w:sz w:val="24"/>
          <w:szCs w:val="24"/>
          <w:lang w:val="ro-RO"/>
        </w:rPr>
        <w:t xml:space="preserve">cauze (cu 10.931 mai multe decât în 2017), reprezentând </w:t>
      </w:r>
      <w:r w:rsidRPr="004B6D94">
        <w:rPr>
          <w:rFonts w:ascii="Times New Roman" w:hAnsi="Times New Roman" w:cs="Times New Roman"/>
          <w:b/>
          <w:bCs/>
          <w:sz w:val="24"/>
          <w:szCs w:val="24"/>
          <w:lang w:val="ro-RO"/>
        </w:rPr>
        <w:t xml:space="preserve">31% </w:t>
      </w:r>
      <w:r w:rsidRPr="004B6D94">
        <w:rPr>
          <w:rFonts w:ascii="Times New Roman" w:hAnsi="Times New Roman" w:cs="Times New Roman"/>
          <w:sz w:val="24"/>
          <w:szCs w:val="24"/>
          <w:lang w:val="ro-RO"/>
        </w:rPr>
        <w:t xml:space="preserve">din totalul cauzelor de soluționat, din care </w:t>
      </w:r>
      <w:r w:rsidRPr="004B6D94">
        <w:rPr>
          <w:rFonts w:ascii="Times New Roman" w:hAnsi="Times New Roman" w:cs="Times New Roman"/>
          <w:b/>
          <w:bCs/>
          <w:sz w:val="24"/>
          <w:szCs w:val="24"/>
          <w:lang w:val="ro-RO"/>
        </w:rPr>
        <w:t xml:space="preserve">46.441 </w:t>
      </w:r>
      <w:r w:rsidRPr="004B6D94">
        <w:rPr>
          <w:rFonts w:ascii="Times New Roman" w:hAnsi="Times New Roman" w:cs="Times New Roman"/>
          <w:sz w:val="24"/>
          <w:szCs w:val="24"/>
          <w:lang w:val="ro-RO"/>
        </w:rPr>
        <w:t xml:space="preserve">prin trimitere în judecată (cu 510 mai multe decât în 2017) și </w:t>
      </w:r>
      <w:r w:rsidRPr="004B6D94">
        <w:rPr>
          <w:rFonts w:ascii="Times New Roman" w:hAnsi="Times New Roman" w:cs="Times New Roman"/>
          <w:b/>
          <w:bCs/>
          <w:sz w:val="24"/>
          <w:szCs w:val="24"/>
          <w:lang w:val="ro-RO"/>
        </w:rPr>
        <w:t xml:space="preserve">497.530 </w:t>
      </w:r>
      <w:r w:rsidRPr="004B6D94">
        <w:rPr>
          <w:rFonts w:ascii="Times New Roman" w:hAnsi="Times New Roman" w:cs="Times New Roman"/>
          <w:sz w:val="24"/>
          <w:szCs w:val="24"/>
          <w:lang w:val="ro-RO"/>
        </w:rPr>
        <w:t>prin soluții de netrimitere în judecată (cu 10.421 mai multe decât în anul 2017) (</w:t>
      </w:r>
      <w:r w:rsidRPr="004B6D94">
        <w:rPr>
          <w:rFonts w:ascii="Times New Roman" w:hAnsi="Times New Roman" w:cs="Times New Roman"/>
          <w:i/>
          <w:iCs/>
          <w:sz w:val="24"/>
          <w:szCs w:val="24"/>
          <w:lang w:val="ro-RO"/>
        </w:rPr>
        <w:t>anexa nr. 1</w:t>
      </w:r>
      <w:r w:rsidRPr="004B6D94">
        <w:rPr>
          <w:rFonts w:ascii="Times New Roman" w:hAnsi="Times New Roman" w:cs="Times New Roman"/>
          <w:sz w:val="24"/>
          <w:szCs w:val="24"/>
          <w:lang w:val="ro-RO"/>
        </w:rPr>
        <w:t xml:space="preserve">). </w:t>
      </w:r>
    </w:p>
    <w:p w:rsidR="004B6D94" w:rsidRPr="004B6D94" w:rsidRDefault="00A125AB" w:rsidP="00A125AB">
      <w:pPr>
        <w:tabs>
          <w:tab w:val="left" w:pos="1275"/>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4B6D94" w:rsidRPr="004B6D94">
        <w:rPr>
          <w:rFonts w:ascii="Times New Roman" w:hAnsi="Times New Roman" w:cs="Times New Roman"/>
          <w:sz w:val="24"/>
          <w:szCs w:val="24"/>
          <w:lang w:val="ro-RO"/>
        </w:rPr>
        <w:t xml:space="preserve">Din totalul trimiterilor în judecată, un număr de </w:t>
      </w:r>
      <w:r w:rsidR="004B6D94" w:rsidRPr="004B6D94">
        <w:rPr>
          <w:rFonts w:ascii="Times New Roman" w:hAnsi="Times New Roman" w:cs="Times New Roman"/>
          <w:b/>
          <w:bCs/>
          <w:sz w:val="24"/>
          <w:szCs w:val="24"/>
          <w:lang w:val="ro-RO"/>
        </w:rPr>
        <w:t xml:space="preserve">738 </w:t>
      </w:r>
      <w:r w:rsidR="004B6D94" w:rsidRPr="004B6D94">
        <w:rPr>
          <w:rFonts w:ascii="Times New Roman" w:hAnsi="Times New Roman" w:cs="Times New Roman"/>
          <w:sz w:val="24"/>
          <w:szCs w:val="24"/>
          <w:lang w:val="ro-RO"/>
        </w:rPr>
        <w:t xml:space="preserve">au fost dispuse în cauze privind infracțiuni de evaziune fiscală ceea ce reprezintă o pondere de </w:t>
      </w:r>
      <w:r w:rsidR="004B6D94" w:rsidRPr="004B6D94">
        <w:rPr>
          <w:rFonts w:ascii="Times New Roman" w:hAnsi="Times New Roman" w:cs="Times New Roman"/>
          <w:b/>
          <w:bCs/>
          <w:sz w:val="24"/>
          <w:szCs w:val="24"/>
          <w:lang w:val="ro-RO"/>
        </w:rPr>
        <w:t>1,6%</w:t>
      </w:r>
      <w:r w:rsidR="004B6D94" w:rsidRPr="004B6D94">
        <w:rPr>
          <w:rFonts w:ascii="Times New Roman" w:hAnsi="Times New Roman" w:cs="Times New Roman"/>
          <w:sz w:val="24"/>
          <w:szCs w:val="24"/>
          <w:lang w:val="ro-RO"/>
        </w:rPr>
        <w:t xml:space="preserve">, iar un număr de </w:t>
      </w:r>
      <w:r w:rsidR="004B6D94" w:rsidRPr="004B6D94">
        <w:rPr>
          <w:rFonts w:ascii="Times New Roman" w:hAnsi="Times New Roman" w:cs="Times New Roman"/>
          <w:b/>
          <w:bCs/>
          <w:sz w:val="24"/>
          <w:szCs w:val="24"/>
          <w:lang w:val="ro-RO"/>
        </w:rPr>
        <w:t xml:space="preserve">486 </w:t>
      </w:r>
      <w:r w:rsidR="004B6D94" w:rsidRPr="004B6D94">
        <w:rPr>
          <w:rFonts w:ascii="Times New Roman" w:hAnsi="Times New Roman" w:cs="Times New Roman"/>
          <w:sz w:val="24"/>
          <w:szCs w:val="24"/>
          <w:lang w:val="ro-RO"/>
        </w:rPr>
        <w:t xml:space="preserve">rechizitorii și acorduri de recunoaștere a vinovăției privesc cauze penale în care s-a efectuat urmărirea penală pentru săvârșirea unor infracțiuni de corupție, reprezentând o pondere de </w:t>
      </w:r>
      <w:r w:rsidR="004B6D94" w:rsidRPr="004B6D94">
        <w:rPr>
          <w:rFonts w:ascii="Times New Roman" w:hAnsi="Times New Roman" w:cs="Times New Roman"/>
          <w:b/>
          <w:bCs/>
          <w:sz w:val="24"/>
          <w:szCs w:val="24"/>
          <w:lang w:val="ro-RO"/>
        </w:rPr>
        <w:t xml:space="preserve">1% </w:t>
      </w:r>
      <w:r w:rsidR="004B6D94" w:rsidRPr="004B6D94">
        <w:rPr>
          <w:rFonts w:ascii="Times New Roman" w:hAnsi="Times New Roman" w:cs="Times New Roman"/>
          <w:sz w:val="24"/>
          <w:szCs w:val="24"/>
          <w:lang w:val="ro-RO"/>
        </w:rPr>
        <w:t>(</w:t>
      </w:r>
      <w:r w:rsidR="004B6D94" w:rsidRPr="004B6D94">
        <w:rPr>
          <w:rFonts w:ascii="Times New Roman" w:hAnsi="Times New Roman" w:cs="Times New Roman"/>
          <w:i/>
          <w:iCs/>
          <w:sz w:val="24"/>
          <w:szCs w:val="24"/>
          <w:lang w:val="ro-RO"/>
        </w:rPr>
        <w:t>anexa nr. 7</w:t>
      </w:r>
      <w:r w:rsidR="004B6D94" w:rsidRPr="004B6D94">
        <w:rPr>
          <w:rFonts w:ascii="Times New Roman" w:hAnsi="Times New Roman" w:cs="Times New Roman"/>
          <w:sz w:val="24"/>
          <w:szCs w:val="24"/>
          <w:lang w:val="ro-RO"/>
        </w:rPr>
        <w:t xml:space="preserve">). </w:t>
      </w:r>
    </w:p>
    <w:p w:rsidR="004B6D94" w:rsidRPr="004B6D94" w:rsidRDefault="004B6D94" w:rsidP="00A125AB">
      <w:pPr>
        <w:tabs>
          <w:tab w:val="left" w:pos="1275"/>
        </w:tabs>
        <w:spacing w:after="0" w:line="360" w:lineRule="auto"/>
        <w:jc w:val="both"/>
        <w:rPr>
          <w:rFonts w:ascii="Times New Roman" w:hAnsi="Times New Roman" w:cs="Times New Roman"/>
          <w:sz w:val="24"/>
          <w:szCs w:val="24"/>
          <w:lang w:val="ro-RO"/>
        </w:rPr>
      </w:pPr>
      <w:r w:rsidRPr="004B6D94">
        <w:rPr>
          <w:rFonts w:ascii="Times New Roman" w:hAnsi="Times New Roman" w:cs="Times New Roman"/>
          <w:sz w:val="24"/>
          <w:szCs w:val="24"/>
          <w:lang w:val="ro-RO"/>
        </w:rPr>
        <w:tab/>
        <w:t xml:space="preserve">Deși față de anul 2017 a crescut numărul cauzelor trimise în judecată, în anul 2018 numărul total al inculpaților a scăzut, fiind trimiși în judecată </w:t>
      </w:r>
      <w:r w:rsidRPr="004B6D94">
        <w:rPr>
          <w:rFonts w:ascii="Times New Roman" w:hAnsi="Times New Roman" w:cs="Times New Roman"/>
          <w:b/>
          <w:bCs/>
          <w:sz w:val="24"/>
          <w:szCs w:val="24"/>
          <w:lang w:val="ro-RO"/>
        </w:rPr>
        <w:t xml:space="preserve">58.737 </w:t>
      </w:r>
      <w:r w:rsidRPr="004B6D94">
        <w:rPr>
          <w:rFonts w:ascii="Times New Roman" w:hAnsi="Times New Roman" w:cs="Times New Roman"/>
          <w:sz w:val="24"/>
          <w:szCs w:val="24"/>
          <w:lang w:val="ro-RO"/>
        </w:rPr>
        <w:t xml:space="preserve">inculpați persoane fizice (cu 1.102 mai puțin). </w:t>
      </w:r>
    </w:p>
    <w:p w:rsidR="004B6D94" w:rsidRPr="004B6D94" w:rsidRDefault="004B6D94" w:rsidP="00A125AB">
      <w:pPr>
        <w:tabs>
          <w:tab w:val="left" w:pos="1275"/>
        </w:tabs>
        <w:spacing w:after="0" w:line="360" w:lineRule="auto"/>
        <w:jc w:val="both"/>
        <w:rPr>
          <w:rFonts w:ascii="Times New Roman" w:hAnsi="Times New Roman" w:cs="Times New Roman"/>
          <w:sz w:val="24"/>
          <w:szCs w:val="24"/>
          <w:lang w:val="ro-RO"/>
        </w:rPr>
      </w:pPr>
      <w:r w:rsidRPr="004B6D94">
        <w:rPr>
          <w:rFonts w:ascii="Times New Roman" w:hAnsi="Times New Roman" w:cs="Times New Roman"/>
          <w:sz w:val="24"/>
          <w:szCs w:val="24"/>
          <w:lang w:val="ro-RO"/>
        </w:rPr>
        <w:lastRenderedPageBreak/>
        <w:tab/>
        <w:t xml:space="preserve">În ceea ce privește cauzele soluționate prin netrimitere în judecată, în </w:t>
      </w:r>
      <w:r w:rsidRPr="004B6D94">
        <w:rPr>
          <w:rFonts w:ascii="Times New Roman" w:hAnsi="Times New Roman" w:cs="Times New Roman"/>
          <w:b/>
          <w:bCs/>
          <w:sz w:val="24"/>
          <w:szCs w:val="24"/>
          <w:lang w:val="ro-RO"/>
        </w:rPr>
        <w:t xml:space="preserve">74.081 </w:t>
      </w:r>
      <w:r w:rsidRPr="004B6D94">
        <w:rPr>
          <w:rFonts w:ascii="Times New Roman" w:hAnsi="Times New Roman" w:cs="Times New Roman"/>
          <w:sz w:val="24"/>
          <w:szCs w:val="24"/>
          <w:lang w:val="ro-RO"/>
        </w:rPr>
        <w:t xml:space="preserve">dosare s-a dispus renunțarea la urmărirea penală, în creștere față de anul 2017 cu 2.891 de cauze. </w:t>
      </w:r>
    </w:p>
    <w:p w:rsidR="004B6D94" w:rsidRPr="004B6D94" w:rsidRDefault="004B6D94" w:rsidP="00A125AB">
      <w:pPr>
        <w:tabs>
          <w:tab w:val="left" w:pos="1275"/>
        </w:tabs>
        <w:spacing w:after="0" w:line="360" w:lineRule="auto"/>
        <w:jc w:val="both"/>
        <w:rPr>
          <w:rFonts w:ascii="Times New Roman" w:hAnsi="Times New Roman" w:cs="Times New Roman"/>
          <w:sz w:val="24"/>
          <w:szCs w:val="24"/>
          <w:lang w:val="ro-RO"/>
        </w:rPr>
      </w:pPr>
      <w:r w:rsidRPr="004B6D94">
        <w:rPr>
          <w:rFonts w:ascii="Times New Roman" w:hAnsi="Times New Roman" w:cs="Times New Roman"/>
          <w:sz w:val="24"/>
          <w:szCs w:val="24"/>
          <w:lang w:val="ro-RO"/>
        </w:rPr>
        <w:tab/>
        <w:t>Din totalul dosarelor soluționate (</w:t>
      </w:r>
      <w:r w:rsidRPr="004B6D94">
        <w:rPr>
          <w:rFonts w:ascii="Times New Roman" w:hAnsi="Times New Roman" w:cs="Times New Roman"/>
          <w:b/>
          <w:bCs/>
          <w:sz w:val="24"/>
          <w:szCs w:val="24"/>
          <w:lang w:val="ro-RO"/>
        </w:rPr>
        <w:t>543.971</w:t>
      </w:r>
      <w:r w:rsidRPr="004B6D94">
        <w:rPr>
          <w:rFonts w:ascii="Times New Roman" w:hAnsi="Times New Roman" w:cs="Times New Roman"/>
          <w:sz w:val="24"/>
          <w:szCs w:val="24"/>
          <w:lang w:val="ro-RO"/>
        </w:rPr>
        <w:t xml:space="preserve">) un număr de </w:t>
      </w:r>
      <w:r w:rsidRPr="004B6D94">
        <w:rPr>
          <w:rFonts w:ascii="Times New Roman" w:hAnsi="Times New Roman" w:cs="Times New Roman"/>
          <w:b/>
          <w:bCs/>
          <w:sz w:val="24"/>
          <w:szCs w:val="24"/>
          <w:lang w:val="ro-RO"/>
        </w:rPr>
        <w:t xml:space="preserve">322 </w:t>
      </w:r>
      <w:r w:rsidRPr="004B6D94">
        <w:rPr>
          <w:rFonts w:ascii="Times New Roman" w:hAnsi="Times New Roman" w:cs="Times New Roman"/>
          <w:sz w:val="24"/>
          <w:szCs w:val="24"/>
          <w:lang w:val="ro-RO"/>
        </w:rPr>
        <w:t xml:space="preserve">cauze au fost soluționate de Secția de urmărire penală și criminalistică (în scădere cu 187 de cauze față de 2017) </w:t>
      </w:r>
      <w:r w:rsidRPr="004B6D94">
        <w:rPr>
          <w:rFonts w:ascii="Times New Roman" w:hAnsi="Times New Roman" w:cs="Times New Roman"/>
          <w:b/>
          <w:bCs/>
          <w:sz w:val="24"/>
          <w:szCs w:val="24"/>
          <w:lang w:val="ro-RO"/>
        </w:rPr>
        <w:t xml:space="preserve">127 </w:t>
      </w:r>
      <w:r w:rsidRPr="004B6D94">
        <w:rPr>
          <w:rFonts w:ascii="Times New Roman" w:hAnsi="Times New Roman" w:cs="Times New Roman"/>
          <w:sz w:val="24"/>
          <w:szCs w:val="24"/>
          <w:lang w:val="ro-RO"/>
        </w:rPr>
        <w:t xml:space="preserve">cauze de Secția pentru investigarea infracțiunilor din justiție și </w:t>
      </w:r>
      <w:r w:rsidRPr="004B6D94">
        <w:rPr>
          <w:rFonts w:ascii="Times New Roman" w:hAnsi="Times New Roman" w:cs="Times New Roman"/>
          <w:b/>
          <w:bCs/>
          <w:sz w:val="24"/>
          <w:szCs w:val="24"/>
          <w:lang w:val="ro-RO"/>
        </w:rPr>
        <w:t xml:space="preserve">2.122 </w:t>
      </w:r>
      <w:r w:rsidRPr="004B6D94">
        <w:rPr>
          <w:rFonts w:ascii="Times New Roman" w:hAnsi="Times New Roman" w:cs="Times New Roman"/>
          <w:sz w:val="24"/>
          <w:szCs w:val="24"/>
          <w:lang w:val="ro-RO"/>
        </w:rPr>
        <w:t xml:space="preserve">cauze de parchetele militare (în creștere cu 45 de cauze) din care </w:t>
      </w:r>
      <w:r w:rsidRPr="004B6D94">
        <w:rPr>
          <w:rFonts w:ascii="Times New Roman" w:hAnsi="Times New Roman" w:cs="Times New Roman"/>
          <w:b/>
          <w:bCs/>
          <w:sz w:val="24"/>
          <w:szCs w:val="24"/>
          <w:lang w:val="ro-RO"/>
        </w:rPr>
        <w:t xml:space="preserve">15 </w:t>
      </w:r>
      <w:r w:rsidRPr="004B6D94">
        <w:rPr>
          <w:rFonts w:ascii="Times New Roman" w:hAnsi="Times New Roman" w:cs="Times New Roman"/>
          <w:sz w:val="24"/>
          <w:szCs w:val="24"/>
          <w:lang w:val="ro-RO"/>
        </w:rPr>
        <w:t xml:space="preserve">cauze de Secția parchetelor militare din cadrul Parchetului de pe lângă Înalta Curte de Casație și Justiție (în scădere cu 8 cauze). </w:t>
      </w:r>
    </w:p>
    <w:p w:rsidR="004B6D94" w:rsidRPr="004B6D94" w:rsidRDefault="004B6D94" w:rsidP="00A125AB">
      <w:pPr>
        <w:tabs>
          <w:tab w:val="left" w:pos="1275"/>
        </w:tabs>
        <w:spacing w:after="0" w:line="360" w:lineRule="auto"/>
        <w:jc w:val="both"/>
        <w:rPr>
          <w:rFonts w:ascii="Times New Roman" w:hAnsi="Times New Roman" w:cs="Times New Roman"/>
          <w:sz w:val="24"/>
          <w:szCs w:val="24"/>
          <w:lang w:val="ro-RO"/>
        </w:rPr>
      </w:pPr>
      <w:r w:rsidRPr="004B6D94">
        <w:rPr>
          <w:rFonts w:ascii="Times New Roman" w:hAnsi="Times New Roman" w:cs="Times New Roman"/>
          <w:sz w:val="24"/>
          <w:szCs w:val="24"/>
          <w:lang w:val="ro-RO"/>
        </w:rPr>
        <w:tab/>
        <w:t xml:space="preserve">Au fost reunite, declinate, suspendate sau reținute la urmărire penală proprie un număr de </w:t>
      </w:r>
      <w:r w:rsidRPr="004B6D94">
        <w:rPr>
          <w:rFonts w:ascii="Times New Roman" w:hAnsi="Times New Roman" w:cs="Times New Roman"/>
          <w:b/>
          <w:bCs/>
          <w:sz w:val="24"/>
          <w:szCs w:val="24"/>
          <w:lang w:val="ro-RO"/>
        </w:rPr>
        <w:t xml:space="preserve">81.354 </w:t>
      </w:r>
      <w:r w:rsidRPr="004B6D94">
        <w:rPr>
          <w:rFonts w:ascii="Times New Roman" w:hAnsi="Times New Roman" w:cs="Times New Roman"/>
          <w:sz w:val="24"/>
          <w:szCs w:val="24"/>
          <w:lang w:val="ro-RO"/>
        </w:rPr>
        <w:t xml:space="preserve">cauze (în scădere față de 2017 cu 7.255 de cauze) reprezentând </w:t>
      </w:r>
      <w:r w:rsidRPr="004B6D94">
        <w:rPr>
          <w:rFonts w:ascii="Times New Roman" w:hAnsi="Times New Roman" w:cs="Times New Roman"/>
          <w:b/>
          <w:bCs/>
          <w:sz w:val="24"/>
          <w:szCs w:val="24"/>
          <w:lang w:val="ro-RO"/>
        </w:rPr>
        <w:t xml:space="preserve">4,6% </w:t>
      </w:r>
      <w:r w:rsidRPr="004B6D94">
        <w:rPr>
          <w:rFonts w:ascii="Times New Roman" w:hAnsi="Times New Roman" w:cs="Times New Roman"/>
          <w:sz w:val="24"/>
          <w:szCs w:val="24"/>
          <w:lang w:val="ro-RO"/>
        </w:rPr>
        <w:t xml:space="preserve">din totalul cauzelor de soluționat, din care </w:t>
      </w:r>
      <w:r w:rsidRPr="004B6D94">
        <w:rPr>
          <w:rFonts w:ascii="Times New Roman" w:hAnsi="Times New Roman" w:cs="Times New Roman"/>
          <w:b/>
          <w:bCs/>
          <w:sz w:val="24"/>
          <w:szCs w:val="24"/>
          <w:lang w:val="ro-RO"/>
        </w:rPr>
        <w:t xml:space="preserve">370 </w:t>
      </w:r>
      <w:r w:rsidRPr="004B6D94">
        <w:rPr>
          <w:rFonts w:ascii="Times New Roman" w:hAnsi="Times New Roman" w:cs="Times New Roman"/>
          <w:sz w:val="24"/>
          <w:szCs w:val="24"/>
          <w:lang w:val="ro-RO"/>
        </w:rPr>
        <w:t xml:space="preserve">la Secția de urmărire penală și criminalistică, </w:t>
      </w:r>
      <w:r w:rsidRPr="004B6D94">
        <w:rPr>
          <w:rFonts w:ascii="Times New Roman" w:hAnsi="Times New Roman" w:cs="Times New Roman"/>
          <w:b/>
          <w:bCs/>
          <w:sz w:val="24"/>
          <w:szCs w:val="24"/>
          <w:lang w:val="ro-RO"/>
        </w:rPr>
        <w:t xml:space="preserve">9 </w:t>
      </w:r>
      <w:r w:rsidRPr="004B6D94">
        <w:rPr>
          <w:rFonts w:ascii="Times New Roman" w:hAnsi="Times New Roman" w:cs="Times New Roman"/>
          <w:sz w:val="24"/>
          <w:szCs w:val="24"/>
          <w:lang w:val="ro-RO"/>
        </w:rPr>
        <w:t xml:space="preserve">la Secția pentru investigarea infracțiunilor din justiție și </w:t>
      </w:r>
      <w:r w:rsidRPr="004B6D94">
        <w:rPr>
          <w:rFonts w:ascii="Times New Roman" w:hAnsi="Times New Roman" w:cs="Times New Roman"/>
          <w:b/>
          <w:bCs/>
          <w:sz w:val="24"/>
          <w:szCs w:val="24"/>
          <w:lang w:val="ro-RO"/>
        </w:rPr>
        <w:t xml:space="preserve">450 </w:t>
      </w:r>
      <w:r w:rsidRPr="004B6D94">
        <w:rPr>
          <w:rFonts w:ascii="Times New Roman" w:hAnsi="Times New Roman" w:cs="Times New Roman"/>
          <w:sz w:val="24"/>
          <w:szCs w:val="24"/>
          <w:lang w:val="ro-RO"/>
        </w:rPr>
        <w:t>la parchetele militare (</w:t>
      </w:r>
      <w:r w:rsidRPr="004B6D94">
        <w:rPr>
          <w:rFonts w:ascii="Times New Roman" w:hAnsi="Times New Roman" w:cs="Times New Roman"/>
          <w:b/>
          <w:bCs/>
          <w:sz w:val="24"/>
          <w:szCs w:val="24"/>
          <w:lang w:val="ro-RO"/>
        </w:rPr>
        <w:t xml:space="preserve">22 </w:t>
      </w:r>
      <w:r w:rsidRPr="004B6D94">
        <w:rPr>
          <w:rFonts w:ascii="Times New Roman" w:hAnsi="Times New Roman" w:cs="Times New Roman"/>
          <w:sz w:val="24"/>
          <w:szCs w:val="24"/>
          <w:lang w:val="ro-RO"/>
        </w:rPr>
        <w:t xml:space="preserve">cauze la Secția parchetelor militare din cadrul Parchetului de pe lângă Înalta Curte de Casație și Justiție). </w:t>
      </w:r>
    </w:p>
    <w:p w:rsidR="004B6D94" w:rsidRPr="004B6D94" w:rsidRDefault="004B6D94" w:rsidP="00A125AB">
      <w:pPr>
        <w:tabs>
          <w:tab w:val="left" w:pos="1275"/>
        </w:tabs>
        <w:spacing w:after="0" w:line="360" w:lineRule="auto"/>
        <w:jc w:val="both"/>
        <w:rPr>
          <w:rFonts w:ascii="Times New Roman" w:hAnsi="Times New Roman" w:cs="Times New Roman"/>
          <w:sz w:val="24"/>
          <w:szCs w:val="24"/>
          <w:lang w:val="ro-RO"/>
        </w:rPr>
      </w:pPr>
      <w:r w:rsidRPr="004B6D94">
        <w:rPr>
          <w:rFonts w:ascii="Times New Roman" w:hAnsi="Times New Roman" w:cs="Times New Roman"/>
          <w:b/>
          <w:bCs/>
          <w:sz w:val="24"/>
          <w:szCs w:val="24"/>
          <w:lang w:val="ro-RO"/>
        </w:rPr>
        <w:tab/>
        <w:t xml:space="preserve">Volumul de activitate </w:t>
      </w:r>
      <w:r w:rsidRPr="004B6D94">
        <w:rPr>
          <w:rFonts w:ascii="Times New Roman" w:hAnsi="Times New Roman" w:cs="Times New Roman"/>
          <w:sz w:val="24"/>
          <w:szCs w:val="24"/>
          <w:lang w:val="ro-RO"/>
        </w:rPr>
        <w:t>(</w:t>
      </w:r>
      <w:r w:rsidRPr="004B6D94">
        <w:rPr>
          <w:rFonts w:ascii="Times New Roman" w:hAnsi="Times New Roman" w:cs="Times New Roman"/>
          <w:b/>
          <w:bCs/>
          <w:sz w:val="24"/>
          <w:szCs w:val="24"/>
          <w:lang w:val="ro-RO"/>
        </w:rPr>
        <w:t>numărul cauzelor de soluționat</w:t>
      </w:r>
      <w:r w:rsidRPr="004B6D94">
        <w:rPr>
          <w:rFonts w:ascii="Times New Roman" w:hAnsi="Times New Roman" w:cs="Times New Roman"/>
          <w:sz w:val="24"/>
          <w:szCs w:val="24"/>
          <w:lang w:val="ro-RO"/>
        </w:rPr>
        <w:t xml:space="preserve">) a crescut față de anul anterior cu aproximativ </w:t>
      </w:r>
      <w:r w:rsidRPr="004B6D94">
        <w:rPr>
          <w:rFonts w:ascii="Times New Roman" w:hAnsi="Times New Roman" w:cs="Times New Roman"/>
          <w:b/>
          <w:bCs/>
          <w:sz w:val="24"/>
          <w:szCs w:val="24"/>
          <w:lang w:val="ro-RO"/>
        </w:rPr>
        <w:t xml:space="preserve">0,1%, </w:t>
      </w:r>
      <w:r w:rsidRPr="004B6D94">
        <w:rPr>
          <w:rFonts w:ascii="Times New Roman" w:hAnsi="Times New Roman" w:cs="Times New Roman"/>
          <w:sz w:val="24"/>
          <w:szCs w:val="24"/>
          <w:lang w:val="ro-RO"/>
        </w:rPr>
        <w:t xml:space="preserve">în condițiile în care în perioada 2015-2017 acesta a scăzut constant, după cum urmează: </w:t>
      </w:r>
    </w:p>
    <w:p w:rsidR="004B6D94" w:rsidRPr="004B6D94" w:rsidRDefault="004B6D94" w:rsidP="00A125AB">
      <w:pPr>
        <w:tabs>
          <w:tab w:val="left" w:pos="1275"/>
        </w:tabs>
        <w:spacing w:after="0" w:line="360" w:lineRule="auto"/>
        <w:jc w:val="both"/>
        <w:rPr>
          <w:rFonts w:ascii="Times New Roman" w:hAnsi="Times New Roman" w:cs="Times New Roman"/>
          <w:sz w:val="24"/>
          <w:szCs w:val="24"/>
          <w:lang w:val="ro-RO"/>
        </w:rPr>
      </w:pPr>
      <w:r w:rsidRPr="004B6D94">
        <w:rPr>
          <w:rFonts w:ascii="Times New Roman" w:hAnsi="Times New Roman" w:cs="Times New Roman"/>
          <w:sz w:val="24"/>
          <w:szCs w:val="24"/>
          <w:lang w:val="ro-RO"/>
        </w:rPr>
        <w:t xml:space="preserve">- în anul 2015 față de 2014, cu </w:t>
      </w:r>
      <w:r w:rsidRPr="004B6D94">
        <w:rPr>
          <w:rFonts w:ascii="Times New Roman" w:hAnsi="Times New Roman" w:cs="Times New Roman"/>
          <w:b/>
          <w:bCs/>
          <w:sz w:val="24"/>
          <w:szCs w:val="24"/>
          <w:lang w:val="ro-RO"/>
        </w:rPr>
        <w:t>2,5</w:t>
      </w:r>
      <w:r w:rsidRPr="004B6D94">
        <w:rPr>
          <w:rFonts w:ascii="Times New Roman" w:hAnsi="Times New Roman" w:cs="Times New Roman"/>
          <w:sz w:val="24"/>
          <w:szCs w:val="24"/>
          <w:lang w:val="ro-RO"/>
        </w:rPr>
        <w:t xml:space="preserve">%; </w:t>
      </w:r>
    </w:p>
    <w:p w:rsidR="004B6D94" w:rsidRPr="004B6D94" w:rsidRDefault="004B6D94" w:rsidP="00A125AB">
      <w:pPr>
        <w:tabs>
          <w:tab w:val="left" w:pos="1275"/>
        </w:tabs>
        <w:spacing w:after="0" w:line="360" w:lineRule="auto"/>
        <w:jc w:val="both"/>
        <w:rPr>
          <w:rFonts w:ascii="Times New Roman" w:hAnsi="Times New Roman" w:cs="Times New Roman"/>
          <w:sz w:val="24"/>
          <w:szCs w:val="24"/>
          <w:lang w:val="ro-RO"/>
        </w:rPr>
      </w:pPr>
      <w:r w:rsidRPr="004B6D94">
        <w:rPr>
          <w:rFonts w:ascii="Times New Roman" w:hAnsi="Times New Roman" w:cs="Times New Roman"/>
          <w:sz w:val="24"/>
          <w:szCs w:val="24"/>
          <w:lang w:val="ro-RO"/>
        </w:rPr>
        <w:t xml:space="preserve">- în anul 2016 față de 2015, cu </w:t>
      </w:r>
      <w:r w:rsidRPr="004B6D94">
        <w:rPr>
          <w:rFonts w:ascii="Times New Roman" w:hAnsi="Times New Roman" w:cs="Times New Roman"/>
          <w:b/>
          <w:bCs/>
          <w:sz w:val="24"/>
          <w:szCs w:val="24"/>
          <w:lang w:val="ro-RO"/>
        </w:rPr>
        <w:t>3,1</w:t>
      </w:r>
      <w:r w:rsidRPr="004B6D94">
        <w:rPr>
          <w:rFonts w:ascii="Times New Roman" w:hAnsi="Times New Roman" w:cs="Times New Roman"/>
          <w:sz w:val="24"/>
          <w:szCs w:val="24"/>
          <w:lang w:val="ro-RO"/>
        </w:rPr>
        <w:t xml:space="preserve">% </w:t>
      </w:r>
    </w:p>
    <w:p w:rsidR="004B6D94" w:rsidRPr="004B6D94" w:rsidRDefault="004B6D94" w:rsidP="00A125AB">
      <w:pPr>
        <w:tabs>
          <w:tab w:val="left" w:pos="1275"/>
        </w:tabs>
        <w:spacing w:after="0" w:line="360" w:lineRule="auto"/>
        <w:jc w:val="both"/>
        <w:rPr>
          <w:rFonts w:ascii="Times New Roman" w:hAnsi="Times New Roman" w:cs="Times New Roman"/>
          <w:sz w:val="24"/>
          <w:szCs w:val="24"/>
          <w:lang w:val="ro-RO"/>
        </w:rPr>
      </w:pPr>
      <w:r w:rsidRPr="004B6D94">
        <w:rPr>
          <w:rFonts w:ascii="Times New Roman" w:hAnsi="Times New Roman" w:cs="Times New Roman"/>
          <w:sz w:val="24"/>
          <w:szCs w:val="24"/>
          <w:lang w:val="ro-RO"/>
        </w:rPr>
        <w:t xml:space="preserve">- în anul 2017 față de 2016, cu </w:t>
      </w:r>
      <w:r w:rsidRPr="004B6D94">
        <w:rPr>
          <w:rFonts w:ascii="Times New Roman" w:hAnsi="Times New Roman" w:cs="Times New Roman"/>
          <w:b/>
          <w:bCs/>
          <w:sz w:val="24"/>
          <w:szCs w:val="24"/>
          <w:lang w:val="ro-RO"/>
        </w:rPr>
        <w:t>1,4</w:t>
      </w:r>
      <w:r w:rsidRPr="004B6D94">
        <w:rPr>
          <w:rFonts w:ascii="Times New Roman" w:hAnsi="Times New Roman" w:cs="Times New Roman"/>
          <w:sz w:val="24"/>
          <w:szCs w:val="24"/>
          <w:lang w:val="ro-RO"/>
        </w:rPr>
        <w:t xml:space="preserve">%. </w:t>
      </w:r>
    </w:p>
    <w:p w:rsidR="004B6D94" w:rsidRPr="004B6D94" w:rsidRDefault="00D04C5B" w:rsidP="00A125AB">
      <w:pPr>
        <w:tabs>
          <w:tab w:val="left" w:pos="1275"/>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4B6D94" w:rsidRPr="004B6D94">
        <w:rPr>
          <w:rFonts w:ascii="Times New Roman" w:hAnsi="Times New Roman" w:cs="Times New Roman"/>
          <w:sz w:val="24"/>
          <w:szCs w:val="24"/>
          <w:lang w:val="ro-RO"/>
        </w:rPr>
        <w:t xml:space="preserve">În procente, ponderea din numărul total al cauzelor de soluționat al celor aflate în urmărire penală proprie pe perioada analizată (2009-2018) s-a situat între </w:t>
      </w:r>
      <w:r w:rsidR="004B6D94" w:rsidRPr="004B6D94">
        <w:rPr>
          <w:rFonts w:ascii="Times New Roman" w:hAnsi="Times New Roman" w:cs="Times New Roman"/>
          <w:b/>
          <w:bCs/>
          <w:sz w:val="24"/>
          <w:szCs w:val="24"/>
          <w:lang w:val="ro-RO"/>
        </w:rPr>
        <w:t>4,2 – 5,1</w:t>
      </w:r>
      <w:r w:rsidR="004B6D94" w:rsidRPr="004B6D94">
        <w:rPr>
          <w:rFonts w:ascii="Times New Roman" w:hAnsi="Times New Roman" w:cs="Times New Roman"/>
          <w:sz w:val="24"/>
          <w:szCs w:val="24"/>
          <w:lang w:val="ro-RO"/>
        </w:rPr>
        <w:t xml:space="preserve">%. </w:t>
      </w:r>
    </w:p>
    <w:p w:rsidR="004B6D94" w:rsidRPr="00D04C5B" w:rsidRDefault="00D04C5B" w:rsidP="00A125AB">
      <w:pPr>
        <w:tabs>
          <w:tab w:val="left" w:pos="1275"/>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4B6D94" w:rsidRPr="00D04C5B">
        <w:rPr>
          <w:rFonts w:ascii="Times New Roman" w:hAnsi="Times New Roman" w:cs="Times New Roman"/>
          <w:sz w:val="24"/>
          <w:szCs w:val="24"/>
          <w:lang w:val="ro-RO"/>
        </w:rPr>
        <w:t xml:space="preserve">Numărul </w:t>
      </w:r>
      <w:r w:rsidR="004B6D94" w:rsidRPr="00D04C5B">
        <w:rPr>
          <w:rFonts w:ascii="Times New Roman" w:hAnsi="Times New Roman" w:cs="Times New Roman"/>
          <w:bCs/>
          <w:sz w:val="24"/>
          <w:szCs w:val="24"/>
          <w:lang w:val="ro-RO"/>
        </w:rPr>
        <w:t>cauzelor soluționate</w:t>
      </w:r>
      <w:r w:rsidR="004B6D94" w:rsidRPr="00D04C5B">
        <w:rPr>
          <w:rFonts w:ascii="Times New Roman" w:hAnsi="Times New Roman" w:cs="Times New Roman"/>
          <w:b/>
          <w:bCs/>
          <w:sz w:val="24"/>
          <w:szCs w:val="24"/>
          <w:lang w:val="ro-RO"/>
        </w:rPr>
        <w:t xml:space="preserve"> </w:t>
      </w:r>
      <w:r w:rsidR="004B6D94" w:rsidRPr="00D04C5B">
        <w:rPr>
          <w:rFonts w:ascii="Times New Roman" w:hAnsi="Times New Roman" w:cs="Times New Roman"/>
          <w:sz w:val="24"/>
          <w:szCs w:val="24"/>
          <w:lang w:val="ro-RO"/>
        </w:rPr>
        <w:t xml:space="preserve">a înregistrat o creștere procentuală de 2,1%. </w:t>
      </w:r>
    </w:p>
    <w:p w:rsidR="004B6D94" w:rsidRPr="00D04C5B" w:rsidRDefault="00D04C5B" w:rsidP="00A125AB">
      <w:pPr>
        <w:tabs>
          <w:tab w:val="left" w:pos="1275"/>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4B6D94" w:rsidRPr="00D04C5B">
        <w:rPr>
          <w:rFonts w:ascii="Times New Roman" w:hAnsi="Times New Roman" w:cs="Times New Roman"/>
          <w:sz w:val="24"/>
          <w:szCs w:val="24"/>
          <w:lang w:val="ro-RO"/>
        </w:rPr>
        <w:t xml:space="preserve">Numărul </w:t>
      </w:r>
      <w:r w:rsidR="004B6D94" w:rsidRPr="00D04C5B">
        <w:rPr>
          <w:rFonts w:ascii="Times New Roman" w:hAnsi="Times New Roman" w:cs="Times New Roman"/>
          <w:bCs/>
          <w:iCs/>
          <w:sz w:val="24"/>
          <w:szCs w:val="24"/>
          <w:lang w:val="ro-RO"/>
        </w:rPr>
        <w:t>cauzelor cu autor cunoscut rămase nesoluționate</w:t>
      </w:r>
      <w:r w:rsidR="004B6D94" w:rsidRPr="00D04C5B">
        <w:rPr>
          <w:rFonts w:ascii="Times New Roman" w:hAnsi="Times New Roman" w:cs="Times New Roman"/>
          <w:b/>
          <w:bCs/>
          <w:i/>
          <w:iCs/>
          <w:sz w:val="24"/>
          <w:szCs w:val="24"/>
          <w:lang w:val="ro-RO"/>
        </w:rPr>
        <w:t xml:space="preserve"> </w:t>
      </w:r>
      <w:r w:rsidR="004B6D94" w:rsidRPr="00D04C5B">
        <w:rPr>
          <w:rFonts w:ascii="Times New Roman" w:hAnsi="Times New Roman" w:cs="Times New Roman"/>
          <w:sz w:val="24"/>
          <w:szCs w:val="24"/>
          <w:lang w:val="ro-RO"/>
        </w:rPr>
        <w:t>la urmărire penală proprie a scăzut cu 3,4%, în timp ce numărul cauzelor la supravegherea cercetărilor a înregistrat o ușoară creștere, de 2,7%</w:t>
      </w:r>
      <w:r w:rsidRPr="00D04C5B">
        <w:rPr>
          <w:rFonts w:ascii="Times New Roman" w:hAnsi="Times New Roman" w:cs="Times New Roman"/>
          <w:sz w:val="24"/>
          <w:szCs w:val="24"/>
          <w:lang w:val="ro-RO"/>
        </w:rPr>
        <w:t>.</w:t>
      </w:r>
    </w:p>
    <w:p w:rsidR="00D04C5B" w:rsidRPr="00501AEA" w:rsidRDefault="00D04C5B" w:rsidP="00A125AB">
      <w:pPr>
        <w:pStyle w:val="ListParagraph"/>
        <w:numPr>
          <w:ilvl w:val="0"/>
          <w:numId w:val="7"/>
        </w:numPr>
        <w:tabs>
          <w:tab w:val="left" w:pos="1275"/>
        </w:tabs>
        <w:spacing w:after="0" w:line="360" w:lineRule="auto"/>
        <w:jc w:val="both"/>
        <w:rPr>
          <w:rFonts w:ascii="Times New Roman" w:hAnsi="Times New Roman" w:cs="Times New Roman"/>
          <w:b/>
          <w:sz w:val="24"/>
          <w:szCs w:val="24"/>
          <w:lang w:val="ro-RO"/>
        </w:rPr>
      </w:pPr>
      <w:r w:rsidRPr="00501AEA">
        <w:rPr>
          <w:rFonts w:ascii="Times New Roman" w:hAnsi="Times New Roman" w:cs="Times New Roman"/>
          <w:b/>
          <w:sz w:val="24"/>
          <w:szCs w:val="24"/>
          <w:lang w:val="ro-RO"/>
        </w:rPr>
        <w:t>Anchetă proprie</w:t>
      </w:r>
    </w:p>
    <w:p w:rsidR="00D04C5B" w:rsidRPr="00D04C5B" w:rsidRDefault="00D04C5B" w:rsidP="00A125AB">
      <w:pPr>
        <w:tabs>
          <w:tab w:val="left" w:pos="1275"/>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D04C5B">
        <w:rPr>
          <w:rFonts w:ascii="Times New Roman" w:hAnsi="Times New Roman" w:cs="Times New Roman"/>
          <w:sz w:val="24"/>
          <w:szCs w:val="24"/>
          <w:lang w:val="ro-RO"/>
        </w:rPr>
        <w:t xml:space="preserve">În anul 2018 au fost soluționate </w:t>
      </w:r>
      <w:r w:rsidRPr="00D04C5B">
        <w:rPr>
          <w:rFonts w:ascii="Times New Roman" w:hAnsi="Times New Roman" w:cs="Times New Roman"/>
          <w:b/>
          <w:bCs/>
          <w:sz w:val="24"/>
          <w:szCs w:val="24"/>
          <w:lang w:val="ro-RO"/>
        </w:rPr>
        <w:t xml:space="preserve">33.632 </w:t>
      </w:r>
      <w:r w:rsidRPr="00D04C5B">
        <w:rPr>
          <w:rFonts w:ascii="Times New Roman" w:hAnsi="Times New Roman" w:cs="Times New Roman"/>
          <w:sz w:val="24"/>
          <w:szCs w:val="24"/>
          <w:lang w:val="ro-RO"/>
        </w:rPr>
        <w:t xml:space="preserve">cauze în care urmărirea penală a fost efectuată de procuror (în creștere cu 536 de cauze față de 2017). Un număr de </w:t>
      </w:r>
      <w:r w:rsidRPr="00D04C5B">
        <w:rPr>
          <w:rFonts w:ascii="Times New Roman" w:hAnsi="Times New Roman" w:cs="Times New Roman"/>
          <w:b/>
          <w:bCs/>
          <w:sz w:val="24"/>
          <w:szCs w:val="24"/>
          <w:lang w:val="ro-RO"/>
        </w:rPr>
        <w:t xml:space="preserve">4.300 </w:t>
      </w:r>
      <w:r w:rsidRPr="00D04C5B">
        <w:rPr>
          <w:rFonts w:ascii="Times New Roman" w:hAnsi="Times New Roman" w:cs="Times New Roman"/>
          <w:sz w:val="24"/>
          <w:szCs w:val="24"/>
          <w:lang w:val="ro-RO"/>
        </w:rPr>
        <w:t>au fost soluționate prin trimitere în judecată (într-o ușoară scădere față de 2017, cu 12 cauze).</w:t>
      </w:r>
      <w:r w:rsidRPr="00D04C5B">
        <w:rPr>
          <w:sz w:val="28"/>
          <w:szCs w:val="28"/>
          <w:lang w:val="ro-RO"/>
        </w:rPr>
        <w:t xml:space="preserve"> </w:t>
      </w:r>
      <w:r w:rsidRPr="00D04C5B">
        <w:rPr>
          <w:rFonts w:ascii="Times New Roman" w:hAnsi="Times New Roman" w:cs="Times New Roman"/>
          <w:sz w:val="24"/>
          <w:szCs w:val="24"/>
          <w:lang w:val="ro-RO"/>
        </w:rPr>
        <w:t xml:space="preserve">Au fost trimiși în judecată </w:t>
      </w:r>
      <w:r w:rsidRPr="00D04C5B">
        <w:rPr>
          <w:rFonts w:ascii="Times New Roman" w:hAnsi="Times New Roman" w:cs="Times New Roman"/>
          <w:b/>
          <w:bCs/>
          <w:sz w:val="24"/>
          <w:szCs w:val="24"/>
          <w:lang w:val="ro-RO"/>
        </w:rPr>
        <w:t xml:space="preserve">7.677 </w:t>
      </w:r>
      <w:r w:rsidRPr="00D04C5B">
        <w:rPr>
          <w:rFonts w:ascii="Times New Roman" w:hAnsi="Times New Roman" w:cs="Times New Roman"/>
          <w:sz w:val="24"/>
          <w:szCs w:val="24"/>
          <w:lang w:val="ro-RO"/>
        </w:rPr>
        <w:t xml:space="preserve">inculpați persoane fizice (în scădere față de 2017 cu 634 de inculpați) din care </w:t>
      </w:r>
      <w:r w:rsidRPr="00D04C5B">
        <w:rPr>
          <w:rFonts w:ascii="Times New Roman" w:hAnsi="Times New Roman" w:cs="Times New Roman"/>
          <w:b/>
          <w:bCs/>
          <w:sz w:val="24"/>
          <w:szCs w:val="24"/>
          <w:lang w:val="ro-RO"/>
        </w:rPr>
        <w:t xml:space="preserve">2.296 </w:t>
      </w:r>
      <w:r w:rsidRPr="00D04C5B">
        <w:rPr>
          <w:rFonts w:ascii="Times New Roman" w:hAnsi="Times New Roman" w:cs="Times New Roman"/>
          <w:sz w:val="24"/>
          <w:szCs w:val="24"/>
          <w:lang w:val="ro-RO"/>
        </w:rPr>
        <w:t>arestați preventiv (în creștere față de 2017 cu 53 de inculpați).</w:t>
      </w:r>
      <w:r w:rsidRPr="00D04C5B">
        <w:rPr>
          <w:b/>
          <w:bCs/>
          <w:sz w:val="28"/>
          <w:szCs w:val="28"/>
          <w:lang w:val="ro-RO"/>
        </w:rPr>
        <w:t xml:space="preserve"> </w:t>
      </w:r>
      <w:r w:rsidRPr="00D04C5B">
        <w:rPr>
          <w:rFonts w:ascii="Times New Roman" w:hAnsi="Times New Roman" w:cs="Times New Roman"/>
          <w:b/>
          <w:bCs/>
          <w:sz w:val="24"/>
          <w:szCs w:val="24"/>
          <w:lang w:val="ro-RO"/>
        </w:rPr>
        <w:t xml:space="preserve">În 29.332 </w:t>
      </w:r>
      <w:r w:rsidRPr="00D04C5B">
        <w:rPr>
          <w:rFonts w:ascii="Times New Roman" w:hAnsi="Times New Roman" w:cs="Times New Roman"/>
          <w:sz w:val="24"/>
          <w:szCs w:val="24"/>
          <w:lang w:val="ro-RO"/>
        </w:rPr>
        <w:t>cauze au fost adoptate soluții de netrimitere în judecată (în creștere cu 548 cauze față de 2017).</w:t>
      </w:r>
      <w:r w:rsidRPr="00D04C5B">
        <w:rPr>
          <w:sz w:val="28"/>
          <w:szCs w:val="28"/>
          <w:lang w:val="ro-RO"/>
        </w:rPr>
        <w:t xml:space="preserve"> </w:t>
      </w:r>
      <w:r w:rsidRPr="00D04C5B">
        <w:rPr>
          <w:rFonts w:ascii="Times New Roman" w:hAnsi="Times New Roman" w:cs="Times New Roman"/>
          <w:sz w:val="24"/>
          <w:szCs w:val="24"/>
          <w:lang w:val="ro-RO"/>
        </w:rPr>
        <w:t xml:space="preserve">La sfârșitul anului 2018 au rămas de soluționat </w:t>
      </w:r>
      <w:r w:rsidRPr="00D04C5B">
        <w:rPr>
          <w:rFonts w:ascii="Times New Roman" w:hAnsi="Times New Roman" w:cs="Times New Roman"/>
          <w:b/>
          <w:bCs/>
          <w:sz w:val="24"/>
          <w:szCs w:val="24"/>
          <w:lang w:val="ro-RO"/>
        </w:rPr>
        <w:t xml:space="preserve">39.301 </w:t>
      </w:r>
      <w:r w:rsidRPr="00D04C5B">
        <w:rPr>
          <w:rFonts w:ascii="Times New Roman" w:hAnsi="Times New Roman" w:cs="Times New Roman"/>
          <w:sz w:val="24"/>
          <w:szCs w:val="24"/>
          <w:lang w:val="ro-RO"/>
        </w:rPr>
        <w:t xml:space="preserve">cauze (în scădere față de 2017 cu 1.131 cauze), din care </w:t>
      </w:r>
      <w:r w:rsidRPr="00D04C5B">
        <w:rPr>
          <w:rFonts w:ascii="Times New Roman" w:hAnsi="Times New Roman" w:cs="Times New Roman"/>
          <w:b/>
          <w:bCs/>
          <w:sz w:val="24"/>
          <w:szCs w:val="24"/>
          <w:lang w:val="ro-RO"/>
        </w:rPr>
        <w:t xml:space="preserve">2.484 </w:t>
      </w:r>
      <w:r w:rsidRPr="00D04C5B">
        <w:rPr>
          <w:rFonts w:ascii="Times New Roman" w:hAnsi="Times New Roman" w:cs="Times New Roman"/>
          <w:sz w:val="24"/>
          <w:szCs w:val="24"/>
          <w:lang w:val="ro-RO"/>
        </w:rPr>
        <w:t>cu autor necunoscut (în creștere cu 161 de cauze).</w:t>
      </w:r>
    </w:p>
    <w:p w:rsidR="004B6D94" w:rsidRPr="00501AEA" w:rsidRDefault="00D04C5B" w:rsidP="00A125AB">
      <w:pPr>
        <w:pStyle w:val="ListParagraph"/>
        <w:numPr>
          <w:ilvl w:val="0"/>
          <w:numId w:val="7"/>
        </w:numPr>
        <w:tabs>
          <w:tab w:val="left" w:pos="1275"/>
        </w:tabs>
        <w:spacing w:after="0" w:line="360" w:lineRule="auto"/>
        <w:jc w:val="both"/>
        <w:rPr>
          <w:rFonts w:ascii="Times New Roman" w:hAnsi="Times New Roman" w:cs="Times New Roman"/>
          <w:b/>
          <w:sz w:val="24"/>
          <w:szCs w:val="24"/>
          <w:lang w:val="ro-RO"/>
        </w:rPr>
      </w:pPr>
      <w:r w:rsidRPr="00501AEA">
        <w:rPr>
          <w:rFonts w:ascii="Times New Roman" w:hAnsi="Times New Roman" w:cs="Times New Roman"/>
          <w:b/>
          <w:sz w:val="24"/>
          <w:szCs w:val="24"/>
          <w:lang w:val="ro-RO"/>
        </w:rPr>
        <w:t>Supraveghere</w:t>
      </w:r>
    </w:p>
    <w:p w:rsidR="00D04C5B" w:rsidRPr="00D04C5B" w:rsidRDefault="00D04C5B" w:rsidP="00A125AB">
      <w:pPr>
        <w:tabs>
          <w:tab w:val="left" w:pos="1275"/>
        </w:tabs>
        <w:spacing w:after="0" w:line="360" w:lineRule="auto"/>
        <w:jc w:val="both"/>
        <w:rPr>
          <w:rFonts w:ascii="Times New Roman" w:hAnsi="Times New Roman" w:cs="Times New Roman"/>
          <w:sz w:val="24"/>
          <w:szCs w:val="24"/>
          <w:lang w:val="ro-RO"/>
        </w:rPr>
      </w:pPr>
      <w:r w:rsidRPr="00D04C5B">
        <w:rPr>
          <w:rFonts w:ascii="Times New Roman" w:hAnsi="Times New Roman" w:cs="Times New Roman"/>
          <w:sz w:val="24"/>
          <w:szCs w:val="24"/>
          <w:lang w:val="ro-RO"/>
        </w:rPr>
        <w:lastRenderedPageBreak/>
        <w:tab/>
        <w:t xml:space="preserve">Procurorii au supravegheat cercetările penale în </w:t>
      </w:r>
      <w:r w:rsidRPr="00D04C5B">
        <w:rPr>
          <w:rFonts w:ascii="Times New Roman" w:hAnsi="Times New Roman" w:cs="Times New Roman"/>
          <w:b/>
          <w:bCs/>
          <w:sz w:val="24"/>
          <w:szCs w:val="24"/>
          <w:lang w:val="ro-RO"/>
        </w:rPr>
        <w:t xml:space="preserve">1.669.587 </w:t>
      </w:r>
      <w:r w:rsidRPr="00D04C5B">
        <w:rPr>
          <w:rFonts w:ascii="Times New Roman" w:hAnsi="Times New Roman" w:cs="Times New Roman"/>
          <w:sz w:val="24"/>
          <w:szCs w:val="24"/>
          <w:lang w:val="ro-RO"/>
        </w:rPr>
        <w:t xml:space="preserve">cauze (în creștere față de anul 2018 cu 1.565 cauze), soluționând un număr </w:t>
      </w:r>
      <w:r w:rsidRPr="00D04C5B">
        <w:rPr>
          <w:rFonts w:ascii="Times New Roman" w:hAnsi="Times New Roman" w:cs="Times New Roman"/>
          <w:b/>
          <w:bCs/>
          <w:sz w:val="24"/>
          <w:szCs w:val="24"/>
          <w:lang w:val="ro-RO"/>
        </w:rPr>
        <w:t>510.339 cauze (în creștere cu 10.395)</w:t>
      </w:r>
      <w:r w:rsidRPr="00D04C5B">
        <w:rPr>
          <w:rFonts w:ascii="Times New Roman" w:hAnsi="Times New Roman" w:cs="Times New Roman"/>
          <w:sz w:val="24"/>
          <w:szCs w:val="24"/>
          <w:lang w:val="ro-RO"/>
        </w:rPr>
        <w:t xml:space="preserve">. Dintre acestea, au emis rechizitorii și acorduri de recunoaștere a vinovăției în </w:t>
      </w:r>
      <w:r w:rsidRPr="00D04C5B">
        <w:rPr>
          <w:rFonts w:ascii="Times New Roman" w:hAnsi="Times New Roman" w:cs="Times New Roman"/>
          <w:b/>
          <w:bCs/>
          <w:sz w:val="24"/>
          <w:szCs w:val="24"/>
          <w:lang w:val="ro-RO"/>
        </w:rPr>
        <w:t xml:space="preserve">42.141 </w:t>
      </w:r>
      <w:r w:rsidRPr="00D04C5B">
        <w:rPr>
          <w:rFonts w:ascii="Times New Roman" w:hAnsi="Times New Roman" w:cs="Times New Roman"/>
          <w:sz w:val="24"/>
          <w:szCs w:val="24"/>
          <w:lang w:val="ro-RO"/>
        </w:rPr>
        <w:t xml:space="preserve">cauze (în creștere cu 522 de cauze), cu privire la </w:t>
      </w:r>
      <w:r w:rsidRPr="00D04C5B">
        <w:rPr>
          <w:rFonts w:ascii="Times New Roman" w:hAnsi="Times New Roman" w:cs="Times New Roman"/>
          <w:b/>
          <w:bCs/>
          <w:sz w:val="24"/>
          <w:szCs w:val="24"/>
          <w:lang w:val="ro-RO"/>
        </w:rPr>
        <w:t xml:space="preserve">51.060 </w:t>
      </w:r>
      <w:r w:rsidRPr="00D04C5B">
        <w:rPr>
          <w:rFonts w:ascii="Times New Roman" w:hAnsi="Times New Roman" w:cs="Times New Roman"/>
          <w:sz w:val="24"/>
          <w:szCs w:val="24"/>
          <w:lang w:val="ro-RO"/>
        </w:rPr>
        <w:t xml:space="preserve">inculpați persoane fizice (în scădere cu 468 de inculpați), din care </w:t>
      </w:r>
      <w:r w:rsidRPr="00D04C5B">
        <w:rPr>
          <w:rFonts w:ascii="Times New Roman" w:hAnsi="Times New Roman" w:cs="Times New Roman"/>
          <w:b/>
          <w:bCs/>
          <w:sz w:val="24"/>
          <w:szCs w:val="24"/>
          <w:lang w:val="ro-RO"/>
        </w:rPr>
        <w:t xml:space="preserve">3.604 </w:t>
      </w:r>
      <w:r w:rsidRPr="00D04C5B">
        <w:rPr>
          <w:rFonts w:ascii="Times New Roman" w:hAnsi="Times New Roman" w:cs="Times New Roman"/>
          <w:sz w:val="24"/>
          <w:szCs w:val="24"/>
          <w:lang w:val="ro-RO"/>
        </w:rPr>
        <w:t xml:space="preserve">arestați preventiv (în scădere cu 245 față de 2017). </w:t>
      </w:r>
    </w:p>
    <w:p w:rsidR="00D04C5B" w:rsidRPr="00D04C5B" w:rsidRDefault="00D04C5B" w:rsidP="00A125AB">
      <w:pPr>
        <w:tabs>
          <w:tab w:val="left" w:pos="1275"/>
        </w:tabs>
        <w:spacing w:after="0" w:line="360" w:lineRule="auto"/>
        <w:jc w:val="both"/>
        <w:rPr>
          <w:rFonts w:ascii="Times New Roman" w:hAnsi="Times New Roman" w:cs="Times New Roman"/>
          <w:sz w:val="24"/>
          <w:szCs w:val="24"/>
          <w:lang w:val="ro-RO"/>
        </w:rPr>
      </w:pPr>
      <w:r w:rsidRPr="00D04C5B">
        <w:rPr>
          <w:rFonts w:ascii="Times New Roman" w:hAnsi="Times New Roman" w:cs="Times New Roman"/>
          <w:sz w:val="24"/>
          <w:szCs w:val="24"/>
          <w:lang w:val="ro-RO"/>
        </w:rPr>
        <w:t xml:space="preserve">La sfârșitul anului 2018 au rămas de soluționat </w:t>
      </w:r>
      <w:r w:rsidRPr="00D04C5B">
        <w:rPr>
          <w:rFonts w:ascii="Times New Roman" w:hAnsi="Times New Roman" w:cs="Times New Roman"/>
          <w:b/>
          <w:bCs/>
          <w:sz w:val="24"/>
          <w:szCs w:val="24"/>
          <w:lang w:val="ro-RO"/>
        </w:rPr>
        <w:t xml:space="preserve">1.088.914 </w:t>
      </w:r>
      <w:r w:rsidRPr="00D04C5B">
        <w:rPr>
          <w:rFonts w:ascii="Times New Roman" w:hAnsi="Times New Roman" w:cs="Times New Roman"/>
          <w:sz w:val="24"/>
          <w:szCs w:val="24"/>
          <w:lang w:val="ro-RO"/>
        </w:rPr>
        <w:t xml:space="preserve">cauze (mai puțin cu 1.072 cauze decât în 2017), din care </w:t>
      </w:r>
      <w:r w:rsidRPr="00D04C5B">
        <w:rPr>
          <w:rFonts w:ascii="Times New Roman" w:hAnsi="Times New Roman" w:cs="Times New Roman"/>
          <w:b/>
          <w:bCs/>
          <w:sz w:val="24"/>
          <w:szCs w:val="24"/>
          <w:lang w:val="ro-RO"/>
        </w:rPr>
        <w:t xml:space="preserve">569.019 </w:t>
      </w:r>
      <w:r w:rsidRPr="00D04C5B">
        <w:rPr>
          <w:rFonts w:ascii="Times New Roman" w:hAnsi="Times New Roman" w:cs="Times New Roman"/>
          <w:sz w:val="24"/>
          <w:szCs w:val="24"/>
          <w:lang w:val="ro-RO"/>
        </w:rPr>
        <w:t>cu autor necunoscut (în scădere cu 14.603 cauze).</w:t>
      </w:r>
    </w:p>
    <w:p w:rsidR="00D04C5B" w:rsidRPr="00501AEA" w:rsidRDefault="00D04C5B" w:rsidP="00A125AB">
      <w:pPr>
        <w:pStyle w:val="ListParagraph"/>
        <w:numPr>
          <w:ilvl w:val="0"/>
          <w:numId w:val="7"/>
        </w:numPr>
        <w:tabs>
          <w:tab w:val="left" w:pos="1275"/>
        </w:tabs>
        <w:spacing w:after="0" w:line="360" w:lineRule="auto"/>
        <w:jc w:val="both"/>
        <w:rPr>
          <w:rFonts w:ascii="Times New Roman" w:hAnsi="Times New Roman" w:cs="Times New Roman"/>
          <w:b/>
          <w:sz w:val="24"/>
          <w:szCs w:val="24"/>
          <w:lang w:val="ro-RO"/>
        </w:rPr>
      </w:pPr>
      <w:r w:rsidRPr="00501AEA">
        <w:rPr>
          <w:rFonts w:ascii="Times New Roman" w:hAnsi="Times New Roman" w:cs="Times New Roman"/>
          <w:b/>
          <w:sz w:val="24"/>
          <w:szCs w:val="24"/>
          <w:lang w:val="ro-RO"/>
        </w:rPr>
        <w:t>Operativitate</w:t>
      </w:r>
    </w:p>
    <w:p w:rsidR="00D04C5B" w:rsidRDefault="00D04C5B" w:rsidP="00A125AB">
      <w:pPr>
        <w:tabs>
          <w:tab w:val="left" w:pos="1275"/>
        </w:tabs>
        <w:spacing w:after="0" w:line="360" w:lineRule="auto"/>
        <w:jc w:val="both"/>
        <w:rPr>
          <w:rFonts w:ascii="Times New Roman" w:hAnsi="Times New Roman" w:cs="Times New Roman"/>
          <w:sz w:val="24"/>
          <w:szCs w:val="24"/>
          <w:lang w:val="ro-RO"/>
        </w:rPr>
      </w:pPr>
      <w:r w:rsidRPr="00D04C5B">
        <w:rPr>
          <w:rFonts w:ascii="Times New Roman" w:hAnsi="Times New Roman" w:cs="Times New Roman"/>
          <w:sz w:val="24"/>
          <w:szCs w:val="24"/>
          <w:lang w:val="ro-RO"/>
        </w:rPr>
        <w:tab/>
        <w:t xml:space="preserve"> În anul 2018, procentul de soluționare a cauzelor, raportat la </w:t>
      </w:r>
      <w:r w:rsidRPr="00D04C5B">
        <w:rPr>
          <w:rFonts w:ascii="Times New Roman" w:hAnsi="Times New Roman" w:cs="Times New Roman"/>
          <w:i/>
          <w:iCs/>
          <w:sz w:val="24"/>
          <w:szCs w:val="24"/>
          <w:lang w:val="ro-RO"/>
        </w:rPr>
        <w:t xml:space="preserve">totalul cauzelor de soluționat </w:t>
      </w:r>
      <w:r w:rsidRPr="00D04C5B">
        <w:rPr>
          <w:rFonts w:ascii="Times New Roman" w:hAnsi="Times New Roman" w:cs="Times New Roman"/>
          <w:sz w:val="24"/>
          <w:szCs w:val="24"/>
          <w:lang w:val="ro-RO"/>
        </w:rPr>
        <w:t xml:space="preserve">a fost </w:t>
      </w:r>
      <w:r w:rsidRPr="00D04C5B">
        <w:rPr>
          <w:rFonts w:ascii="Times New Roman" w:hAnsi="Times New Roman" w:cs="Times New Roman"/>
          <w:b/>
          <w:bCs/>
          <w:sz w:val="24"/>
          <w:szCs w:val="24"/>
          <w:lang w:val="ro-RO"/>
        </w:rPr>
        <w:t>35,7</w:t>
      </w:r>
      <w:r w:rsidRPr="00D04C5B">
        <w:rPr>
          <w:rFonts w:ascii="Times New Roman" w:hAnsi="Times New Roman" w:cs="Times New Roman"/>
          <w:sz w:val="24"/>
          <w:szCs w:val="24"/>
          <w:lang w:val="ro-RO"/>
        </w:rPr>
        <w:t xml:space="preserve">% cu o ușoară creștere față de anul 2017 când s-a înregistrat un procent de 35,5%. Prin raportare la anul 2017, apar diferențe în ceea ce privește perioadele de soluționare. Astfel, din </w:t>
      </w:r>
      <w:r w:rsidRPr="00D04C5B">
        <w:rPr>
          <w:rFonts w:ascii="Times New Roman" w:hAnsi="Times New Roman" w:cs="Times New Roman"/>
          <w:i/>
          <w:iCs/>
          <w:sz w:val="24"/>
          <w:szCs w:val="24"/>
          <w:lang w:val="ro-RO"/>
        </w:rPr>
        <w:t xml:space="preserve">totalul cauzelor soluționate </w:t>
      </w:r>
      <w:r w:rsidRPr="00D04C5B">
        <w:rPr>
          <w:rFonts w:ascii="Times New Roman" w:hAnsi="Times New Roman" w:cs="Times New Roman"/>
          <w:sz w:val="24"/>
          <w:szCs w:val="24"/>
          <w:lang w:val="ro-RO"/>
        </w:rPr>
        <w:t>(</w:t>
      </w:r>
      <w:r w:rsidRPr="00D04C5B">
        <w:rPr>
          <w:rFonts w:ascii="Times New Roman" w:hAnsi="Times New Roman" w:cs="Times New Roman"/>
          <w:b/>
          <w:bCs/>
          <w:sz w:val="24"/>
          <w:szCs w:val="24"/>
          <w:lang w:val="ro-RO"/>
        </w:rPr>
        <w:t>543.971</w:t>
      </w:r>
      <w:r w:rsidRPr="00D04C5B">
        <w:rPr>
          <w:rFonts w:ascii="Times New Roman" w:hAnsi="Times New Roman" w:cs="Times New Roman"/>
          <w:sz w:val="24"/>
          <w:szCs w:val="24"/>
          <w:lang w:val="ro-RO"/>
        </w:rPr>
        <w:t xml:space="preserve">), </w:t>
      </w:r>
      <w:r w:rsidRPr="00D04C5B">
        <w:rPr>
          <w:rFonts w:ascii="Times New Roman" w:hAnsi="Times New Roman" w:cs="Times New Roman"/>
          <w:b/>
          <w:bCs/>
          <w:sz w:val="24"/>
          <w:szCs w:val="24"/>
          <w:lang w:val="ro-RO"/>
        </w:rPr>
        <w:t>34,8</w:t>
      </w:r>
      <w:r w:rsidRPr="00D04C5B">
        <w:rPr>
          <w:rFonts w:ascii="Times New Roman" w:hAnsi="Times New Roman" w:cs="Times New Roman"/>
          <w:sz w:val="24"/>
          <w:szCs w:val="24"/>
          <w:lang w:val="ro-RO"/>
        </w:rPr>
        <w:t xml:space="preserve">% </w:t>
      </w:r>
      <w:r w:rsidRPr="00D04C5B">
        <w:rPr>
          <w:rFonts w:ascii="Times New Roman" w:hAnsi="Times New Roman" w:cs="Times New Roman"/>
          <w:b/>
          <w:bCs/>
          <w:sz w:val="24"/>
          <w:szCs w:val="24"/>
          <w:lang w:val="ro-RO"/>
        </w:rPr>
        <w:t>(189.396 cauze</w:t>
      </w:r>
      <w:r w:rsidRPr="00D04C5B">
        <w:rPr>
          <w:rFonts w:ascii="Times New Roman" w:hAnsi="Times New Roman" w:cs="Times New Roman"/>
          <w:sz w:val="24"/>
          <w:szCs w:val="24"/>
          <w:lang w:val="ro-RO"/>
        </w:rPr>
        <w:t>) au fost soluționate în mai puțin de 6 luni de la sesizare (</w:t>
      </w:r>
      <w:r w:rsidRPr="00D04C5B">
        <w:rPr>
          <w:rFonts w:ascii="Times New Roman" w:hAnsi="Times New Roman" w:cs="Times New Roman"/>
          <w:b/>
          <w:bCs/>
          <w:sz w:val="24"/>
          <w:szCs w:val="24"/>
          <w:lang w:val="ro-RO"/>
        </w:rPr>
        <w:t>în scădere cu 9.027 cauze față de 2017)</w:t>
      </w:r>
      <w:r w:rsidRPr="00D04C5B">
        <w:rPr>
          <w:rFonts w:ascii="Times New Roman" w:hAnsi="Times New Roman" w:cs="Times New Roman"/>
          <w:sz w:val="24"/>
          <w:szCs w:val="24"/>
          <w:lang w:val="ro-RO"/>
        </w:rPr>
        <w:t xml:space="preserve">, </w:t>
      </w:r>
      <w:r w:rsidRPr="00D04C5B">
        <w:rPr>
          <w:rFonts w:ascii="Times New Roman" w:hAnsi="Times New Roman" w:cs="Times New Roman"/>
          <w:b/>
          <w:bCs/>
          <w:sz w:val="24"/>
          <w:szCs w:val="24"/>
          <w:lang w:val="ro-RO"/>
        </w:rPr>
        <w:t>19,3% (105.001</w:t>
      </w:r>
      <w:r w:rsidRPr="00D04C5B">
        <w:rPr>
          <w:rFonts w:ascii="Times New Roman" w:hAnsi="Times New Roman" w:cs="Times New Roman"/>
          <w:sz w:val="24"/>
          <w:szCs w:val="24"/>
          <w:lang w:val="ro-RO"/>
        </w:rPr>
        <w:t>) au fost soluționate între 6 luni și 1 an de la</w:t>
      </w:r>
      <w:r w:rsidRPr="00D04C5B">
        <w:rPr>
          <w:sz w:val="28"/>
          <w:szCs w:val="28"/>
          <w:lang w:val="ro-RO"/>
        </w:rPr>
        <w:t xml:space="preserve"> </w:t>
      </w:r>
      <w:r w:rsidRPr="00D04C5B">
        <w:rPr>
          <w:rFonts w:ascii="Times New Roman" w:hAnsi="Times New Roman" w:cs="Times New Roman"/>
          <w:sz w:val="24"/>
          <w:szCs w:val="24"/>
          <w:lang w:val="ro-RO"/>
        </w:rPr>
        <w:t xml:space="preserve">sesizare (în scădere cu 5.023 cauze), </w:t>
      </w:r>
      <w:r w:rsidRPr="00D04C5B">
        <w:rPr>
          <w:rFonts w:ascii="Times New Roman" w:hAnsi="Times New Roman" w:cs="Times New Roman"/>
          <w:b/>
          <w:bCs/>
          <w:sz w:val="24"/>
          <w:szCs w:val="24"/>
          <w:lang w:val="ro-RO"/>
        </w:rPr>
        <w:t>30,5</w:t>
      </w:r>
      <w:r w:rsidRPr="00D04C5B">
        <w:rPr>
          <w:rFonts w:ascii="Times New Roman" w:hAnsi="Times New Roman" w:cs="Times New Roman"/>
          <w:sz w:val="24"/>
          <w:szCs w:val="24"/>
          <w:lang w:val="ro-RO"/>
        </w:rPr>
        <w:t xml:space="preserve">% </w:t>
      </w:r>
      <w:r w:rsidRPr="00D04C5B">
        <w:rPr>
          <w:rFonts w:ascii="Times New Roman" w:hAnsi="Times New Roman" w:cs="Times New Roman"/>
          <w:b/>
          <w:bCs/>
          <w:sz w:val="24"/>
          <w:szCs w:val="24"/>
          <w:lang w:val="ro-RO"/>
        </w:rPr>
        <w:t>(166.157</w:t>
      </w:r>
      <w:r w:rsidRPr="00D04C5B">
        <w:rPr>
          <w:rFonts w:ascii="Times New Roman" w:hAnsi="Times New Roman" w:cs="Times New Roman"/>
          <w:sz w:val="24"/>
          <w:szCs w:val="24"/>
          <w:lang w:val="ro-RO"/>
        </w:rPr>
        <w:t xml:space="preserve">) au fost soluționate în mai mult de un an de la sesizare (în creștere cu 6.865 cauze), iar </w:t>
      </w:r>
      <w:r w:rsidRPr="00D04C5B">
        <w:rPr>
          <w:rFonts w:ascii="Times New Roman" w:hAnsi="Times New Roman" w:cs="Times New Roman"/>
          <w:b/>
          <w:bCs/>
          <w:sz w:val="24"/>
          <w:szCs w:val="24"/>
          <w:lang w:val="ro-RO"/>
        </w:rPr>
        <w:t xml:space="preserve">15,3% (83.417) </w:t>
      </w:r>
      <w:r w:rsidRPr="00D04C5B">
        <w:rPr>
          <w:rFonts w:ascii="Times New Roman" w:hAnsi="Times New Roman" w:cs="Times New Roman"/>
          <w:sz w:val="24"/>
          <w:szCs w:val="24"/>
          <w:lang w:val="ro-RO"/>
        </w:rPr>
        <w:t>au fost soluționate după ce s-a împlinit termenul de prescripție (în creștere cu 18.116 cauze).</w:t>
      </w:r>
      <w:r>
        <w:rPr>
          <w:rFonts w:ascii="Times New Roman" w:hAnsi="Times New Roman" w:cs="Times New Roman"/>
          <w:sz w:val="24"/>
          <w:szCs w:val="24"/>
          <w:lang w:val="ro-RO"/>
        </w:rPr>
        <w:t xml:space="preserve"> </w:t>
      </w:r>
    </w:p>
    <w:p w:rsidR="00D04C5B" w:rsidRPr="00D04C5B" w:rsidRDefault="00D04C5B" w:rsidP="00A125AB">
      <w:pPr>
        <w:tabs>
          <w:tab w:val="left" w:pos="1275"/>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D04C5B">
        <w:rPr>
          <w:rFonts w:ascii="Times New Roman" w:hAnsi="Times New Roman" w:cs="Times New Roman"/>
          <w:sz w:val="24"/>
          <w:szCs w:val="24"/>
          <w:lang w:val="ro-RO"/>
        </w:rPr>
        <w:t xml:space="preserve">Datele statistice privind </w:t>
      </w:r>
      <w:r w:rsidRPr="00D04C5B">
        <w:rPr>
          <w:rFonts w:ascii="Times New Roman" w:hAnsi="Times New Roman" w:cs="Times New Roman"/>
          <w:b/>
          <w:bCs/>
          <w:sz w:val="24"/>
          <w:szCs w:val="24"/>
          <w:lang w:val="ro-RO"/>
        </w:rPr>
        <w:t xml:space="preserve">cauzele rămase nesoluționate </w:t>
      </w:r>
      <w:r w:rsidRPr="00D04C5B">
        <w:rPr>
          <w:rFonts w:ascii="Times New Roman" w:hAnsi="Times New Roman" w:cs="Times New Roman"/>
          <w:sz w:val="24"/>
          <w:szCs w:val="24"/>
          <w:lang w:val="ro-RO"/>
        </w:rPr>
        <w:t xml:space="preserve">relevă faptul că acestea au crescut față de 2017 cu 12.239 cauze. Din </w:t>
      </w:r>
      <w:r w:rsidRPr="00D04C5B">
        <w:rPr>
          <w:rFonts w:ascii="Times New Roman" w:hAnsi="Times New Roman" w:cs="Times New Roman"/>
          <w:i/>
          <w:iCs/>
          <w:sz w:val="24"/>
          <w:szCs w:val="24"/>
          <w:lang w:val="ro-RO"/>
        </w:rPr>
        <w:t xml:space="preserve">totalul cauzelor rămase nesoluționate </w:t>
      </w:r>
      <w:r w:rsidRPr="00D04C5B">
        <w:rPr>
          <w:rFonts w:ascii="Times New Roman" w:hAnsi="Times New Roman" w:cs="Times New Roman"/>
          <w:sz w:val="24"/>
          <w:szCs w:val="24"/>
          <w:lang w:val="ro-RO"/>
        </w:rPr>
        <w:t xml:space="preserve">- fără cauze cu autori necunoscuți </w:t>
      </w:r>
      <w:r w:rsidRPr="00D04C5B">
        <w:rPr>
          <w:rFonts w:ascii="Times New Roman" w:hAnsi="Times New Roman" w:cs="Times New Roman"/>
          <w:b/>
          <w:bCs/>
          <w:sz w:val="24"/>
          <w:szCs w:val="24"/>
          <w:lang w:val="ro-RO"/>
        </w:rPr>
        <w:t>(556.712</w:t>
      </w:r>
      <w:r w:rsidRPr="00D04C5B">
        <w:rPr>
          <w:rFonts w:ascii="Times New Roman" w:hAnsi="Times New Roman" w:cs="Times New Roman"/>
          <w:sz w:val="24"/>
          <w:szCs w:val="24"/>
          <w:lang w:val="ro-RO"/>
        </w:rPr>
        <w:t xml:space="preserve">) -, </w:t>
      </w:r>
      <w:r w:rsidRPr="00D04C5B">
        <w:rPr>
          <w:rFonts w:ascii="Times New Roman" w:hAnsi="Times New Roman" w:cs="Times New Roman"/>
          <w:b/>
          <w:bCs/>
          <w:sz w:val="24"/>
          <w:szCs w:val="24"/>
          <w:lang w:val="ro-RO"/>
        </w:rPr>
        <w:t xml:space="preserve">32,1% </w:t>
      </w:r>
      <w:r w:rsidRPr="00D04C5B">
        <w:rPr>
          <w:rFonts w:ascii="Times New Roman" w:hAnsi="Times New Roman" w:cs="Times New Roman"/>
          <w:sz w:val="24"/>
          <w:szCs w:val="24"/>
          <w:lang w:val="ro-RO"/>
        </w:rPr>
        <w:t>(</w:t>
      </w:r>
      <w:r w:rsidRPr="00D04C5B">
        <w:rPr>
          <w:rFonts w:ascii="Times New Roman" w:hAnsi="Times New Roman" w:cs="Times New Roman"/>
          <w:b/>
          <w:bCs/>
          <w:sz w:val="24"/>
          <w:szCs w:val="24"/>
          <w:lang w:val="ro-RO"/>
        </w:rPr>
        <w:t>178.512</w:t>
      </w:r>
      <w:r w:rsidRPr="00D04C5B">
        <w:rPr>
          <w:rFonts w:ascii="Times New Roman" w:hAnsi="Times New Roman" w:cs="Times New Roman"/>
          <w:sz w:val="24"/>
          <w:szCs w:val="24"/>
          <w:lang w:val="ro-RO"/>
        </w:rPr>
        <w:t xml:space="preserve">) sunt cu o vechime de până la 6 luni de la sesizare, </w:t>
      </w:r>
      <w:r w:rsidRPr="00D04C5B">
        <w:rPr>
          <w:rFonts w:ascii="Times New Roman" w:hAnsi="Times New Roman" w:cs="Times New Roman"/>
          <w:b/>
          <w:bCs/>
          <w:sz w:val="24"/>
          <w:szCs w:val="24"/>
          <w:lang w:val="ro-RO"/>
        </w:rPr>
        <w:t>20,4</w:t>
      </w:r>
      <w:r w:rsidRPr="00D04C5B">
        <w:rPr>
          <w:rFonts w:ascii="Times New Roman" w:hAnsi="Times New Roman" w:cs="Times New Roman"/>
          <w:sz w:val="24"/>
          <w:szCs w:val="24"/>
          <w:lang w:val="ro-RO"/>
        </w:rPr>
        <w:t xml:space="preserve">% </w:t>
      </w:r>
      <w:r w:rsidRPr="00D04C5B">
        <w:rPr>
          <w:rFonts w:ascii="Times New Roman" w:hAnsi="Times New Roman" w:cs="Times New Roman"/>
          <w:b/>
          <w:bCs/>
          <w:sz w:val="24"/>
          <w:szCs w:val="24"/>
          <w:lang w:val="ro-RO"/>
        </w:rPr>
        <w:t>(113.726</w:t>
      </w:r>
      <w:r w:rsidRPr="00D04C5B">
        <w:rPr>
          <w:rFonts w:ascii="Times New Roman" w:hAnsi="Times New Roman" w:cs="Times New Roman"/>
          <w:sz w:val="24"/>
          <w:szCs w:val="24"/>
          <w:lang w:val="ro-RO"/>
        </w:rPr>
        <w:t xml:space="preserve">) între 6 luni și 1 an de la sesizare iar </w:t>
      </w:r>
      <w:r w:rsidRPr="00D04C5B">
        <w:rPr>
          <w:rFonts w:ascii="Times New Roman" w:hAnsi="Times New Roman" w:cs="Times New Roman"/>
          <w:b/>
          <w:bCs/>
          <w:sz w:val="24"/>
          <w:szCs w:val="24"/>
          <w:lang w:val="ro-RO"/>
        </w:rPr>
        <w:t>47,5</w:t>
      </w:r>
      <w:r w:rsidRPr="00D04C5B">
        <w:rPr>
          <w:rFonts w:ascii="Times New Roman" w:hAnsi="Times New Roman" w:cs="Times New Roman"/>
          <w:sz w:val="24"/>
          <w:szCs w:val="24"/>
          <w:lang w:val="ro-RO"/>
        </w:rPr>
        <w:t xml:space="preserve">% </w:t>
      </w:r>
      <w:r w:rsidRPr="00D04C5B">
        <w:rPr>
          <w:rFonts w:ascii="Times New Roman" w:hAnsi="Times New Roman" w:cs="Times New Roman"/>
          <w:b/>
          <w:bCs/>
          <w:sz w:val="24"/>
          <w:szCs w:val="24"/>
          <w:lang w:val="ro-RO"/>
        </w:rPr>
        <w:t xml:space="preserve">(264.474) </w:t>
      </w:r>
      <w:r w:rsidRPr="00D04C5B">
        <w:rPr>
          <w:rFonts w:ascii="Times New Roman" w:hAnsi="Times New Roman" w:cs="Times New Roman"/>
          <w:sz w:val="24"/>
          <w:szCs w:val="24"/>
          <w:lang w:val="ro-RO"/>
        </w:rPr>
        <w:t xml:space="preserve">de peste un an de la sesizare. De asemenea, din </w:t>
      </w:r>
      <w:r w:rsidRPr="00D04C5B">
        <w:rPr>
          <w:rFonts w:ascii="Times New Roman" w:hAnsi="Times New Roman" w:cs="Times New Roman"/>
          <w:i/>
          <w:iCs/>
          <w:sz w:val="24"/>
          <w:szCs w:val="24"/>
          <w:lang w:val="ro-RO"/>
        </w:rPr>
        <w:t xml:space="preserve">totalul cauzelor rămase de soluționat </w:t>
      </w:r>
      <w:r w:rsidRPr="00D04C5B">
        <w:rPr>
          <w:rFonts w:ascii="Times New Roman" w:hAnsi="Times New Roman" w:cs="Times New Roman"/>
          <w:sz w:val="24"/>
          <w:szCs w:val="24"/>
          <w:lang w:val="ro-RO"/>
        </w:rPr>
        <w:t>– fără cauze cu autor necunoscut -,</w:t>
      </w:r>
      <w:r w:rsidRPr="00D04C5B">
        <w:rPr>
          <w:rFonts w:ascii="Times New Roman" w:hAnsi="Times New Roman" w:cs="Times New Roman"/>
          <w:b/>
          <w:bCs/>
          <w:sz w:val="24"/>
          <w:szCs w:val="24"/>
          <w:lang w:val="ro-RO"/>
        </w:rPr>
        <w:t xml:space="preserve">359.792 (64,6%) </w:t>
      </w:r>
      <w:r w:rsidRPr="00D04C5B">
        <w:rPr>
          <w:rFonts w:ascii="Times New Roman" w:hAnsi="Times New Roman" w:cs="Times New Roman"/>
          <w:sz w:val="24"/>
          <w:szCs w:val="24"/>
          <w:lang w:val="ro-RO"/>
        </w:rPr>
        <w:t>reprezintă cauzele cu urmărirea penală începută (în creștere față de 2017 cu 40.317 cauze).</w:t>
      </w:r>
    </w:p>
    <w:p w:rsidR="002301D8" w:rsidRPr="00501AEA" w:rsidRDefault="002301D8" w:rsidP="00A125AB">
      <w:pPr>
        <w:pStyle w:val="ListParagraph"/>
        <w:numPr>
          <w:ilvl w:val="0"/>
          <w:numId w:val="7"/>
        </w:numPr>
        <w:tabs>
          <w:tab w:val="left" w:pos="1275"/>
        </w:tabs>
        <w:spacing w:after="0" w:line="360" w:lineRule="auto"/>
        <w:jc w:val="both"/>
        <w:rPr>
          <w:rFonts w:ascii="Times New Roman" w:hAnsi="Times New Roman" w:cs="Times New Roman"/>
          <w:b/>
          <w:sz w:val="24"/>
          <w:szCs w:val="24"/>
          <w:lang w:val="ro-RO"/>
        </w:rPr>
      </w:pPr>
      <w:r w:rsidRPr="00501AEA">
        <w:rPr>
          <w:rFonts w:ascii="Times New Roman" w:hAnsi="Times New Roman" w:cs="Times New Roman"/>
          <w:b/>
          <w:sz w:val="24"/>
          <w:szCs w:val="24"/>
          <w:lang w:val="ro-RO"/>
        </w:rPr>
        <w:t>Calitatea urmăririi penale</w:t>
      </w:r>
    </w:p>
    <w:p w:rsidR="002301D8" w:rsidRPr="002301D8" w:rsidRDefault="002301D8" w:rsidP="00A125AB">
      <w:pPr>
        <w:spacing w:after="0" w:line="360" w:lineRule="auto"/>
        <w:ind w:firstLine="1440"/>
        <w:jc w:val="both"/>
        <w:rPr>
          <w:rFonts w:ascii="Times New Roman" w:hAnsi="Times New Roman" w:cs="Times New Roman"/>
          <w:bCs/>
          <w:sz w:val="24"/>
          <w:szCs w:val="24"/>
          <w:lang w:val="ro-RO"/>
        </w:rPr>
      </w:pPr>
      <w:r w:rsidRPr="002301D8">
        <w:rPr>
          <w:rFonts w:ascii="Times New Roman" w:hAnsi="Times New Roman" w:cs="Times New Roman"/>
          <w:sz w:val="24"/>
          <w:szCs w:val="24"/>
          <w:lang w:val="ro-RO"/>
        </w:rPr>
        <w:t xml:space="preserve">În anul 2018 au fost </w:t>
      </w:r>
      <w:r w:rsidRPr="002301D8">
        <w:rPr>
          <w:rFonts w:ascii="Times New Roman" w:hAnsi="Times New Roman" w:cs="Times New Roman"/>
          <w:b/>
          <w:sz w:val="24"/>
          <w:szCs w:val="24"/>
          <w:lang w:val="ro-RO"/>
        </w:rPr>
        <w:t>achitați definitiv</w:t>
      </w:r>
      <w:r w:rsidRPr="002301D8">
        <w:rPr>
          <w:rFonts w:ascii="Times New Roman" w:hAnsi="Times New Roman" w:cs="Times New Roman"/>
          <w:sz w:val="24"/>
          <w:szCs w:val="24"/>
          <w:lang w:val="ro-RO"/>
        </w:rPr>
        <w:t xml:space="preserve">, indiferent de perioada trimiterii în judecată, </w:t>
      </w:r>
      <w:r w:rsidRPr="002301D8">
        <w:rPr>
          <w:rFonts w:ascii="Times New Roman" w:hAnsi="Times New Roman" w:cs="Times New Roman"/>
          <w:bCs/>
          <w:sz w:val="24"/>
          <w:szCs w:val="24"/>
          <w:lang w:val="ro-RO"/>
        </w:rPr>
        <w:t xml:space="preserve">1.290 </w:t>
      </w:r>
      <w:r w:rsidRPr="002301D8">
        <w:rPr>
          <w:rFonts w:ascii="Times New Roman" w:hAnsi="Times New Roman" w:cs="Times New Roman"/>
          <w:sz w:val="24"/>
          <w:szCs w:val="24"/>
          <w:lang w:val="ro-RO"/>
        </w:rPr>
        <w:t xml:space="preserve">inculpați, (cu 254 mai mulți decât în 2017) din care </w:t>
      </w:r>
      <w:r w:rsidRPr="002301D8">
        <w:rPr>
          <w:rFonts w:ascii="Times New Roman" w:hAnsi="Times New Roman" w:cs="Times New Roman"/>
          <w:bCs/>
          <w:sz w:val="24"/>
          <w:szCs w:val="24"/>
          <w:lang w:val="ro-RO"/>
        </w:rPr>
        <w:t xml:space="preserve">1.264 inculpați persoane fizice, </w:t>
      </w:r>
      <w:r w:rsidRPr="002301D8">
        <w:rPr>
          <w:rFonts w:ascii="Times New Roman" w:hAnsi="Times New Roman" w:cs="Times New Roman"/>
          <w:sz w:val="24"/>
          <w:szCs w:val="24"/>
          <w:lang w:val="ro-RO"/>
        </w:rPr>
        <w:t>în creștere cu 269 de inculpați</w:t>
      </w:r>
      <w:r w:rsidRPr="002301D8">
        <w:rPr>
          <w:rFonts w:ascii="Times New Roman" w:hAnsi="Times New Roman" w:cs="Times New Roman"/>
          <w:bCs/>
          <w:sz w:val="24"/>
          <w:szCs w:val="24"/>
          <w:lang w:val="ro-RO"/>
        </w:rPr>
        <w:t xml:space="preserve">, 17 minori </w:t>
      </w:r>
      <w:r w:rsidRPr="002301D8">
        <w:rPr>
          <w:rFonts w:ascii="Times New Roman" w:hAnsi="Times New Roman" w:cs="Times New Roman"/>
          <w:sz w:val="24"/>
          <w:szCs w:val="24"/>
          <w:lang w:val="ro-RO"/>
        </w:rPr>
        <w:t xml:space="preserve">(în creștere cu 5 persoane) </w:t>
      </w:r>
      <w:r w:rsidRPr="002301D8">
        <w:rPr>
          <w:rFonts w:ascii="Times New Roman" w:hAnsi="Times New Roman" w:cs="Times New Roman"/>
          <w:bCs/>
          <w:sz w:val="24"/>
          <w:szCs w:val="24"/>
          <w:lang w:val="ro-RO"/>
        </w:rPr>
        <w:t>și 26 inculpați persoane juridice</w:t>
      </w:r>
      <w:r w:rsidRPr="002301D8">
        <w:rPr>
          <w:rFonts w:ascii="Times New Roman" w:hAnsi="Times New Roman" w:cs="Times New Roman"/>
          <w:sz w:val="24"/>
          <w:szCs w:val="24"/>
          <w:lang w:val="ro-RO"/>
        </w:rPr>
        <w:t xml:space="preserve">. Dintre inculpații achitați definitiv, un număr de </w:t>
      </w:r>
      <w:r w:rsidRPr="002301D8">
        <w:rPr>
          <w:rFonts w:ascii="Times New Roman" w:hAnsi="Times New Roman" w:cs="Times New Roman"/>
          <w:bCs/>
          <w:sz w:val="24"/>
          <w:szCs w:val="24"/>
          <w:lang w:val="ro-RO"/>
        </w:rPr>
        <w:t>63 au fost arestați preventiv.</w:t>
      </w:r>
      <w:r w:rsidRPr="002301D8">
        <w:rPr>
          <w:sz w:val="28"/>
          <w:szCs w:val="28"/>
          <w:lang w:val="ro-RO"/>
        </w:rPr>
        <w:t xml:space="preserve"> </w:t>
      </w:r>
      <w:r w:rsidRPr="002301D8">
        <w:rPr>
          <w:rFonts w:ascii="Times New Roman" w:hAnsi="Times New Roman" w:cs="Times New Roman"/>
          <w:bCs/>
          <w:sz w:val="24"/>
          <w:szCs w:val="24"/>
          <w:lang w:val="ro-RO"/>
        </w:rPr>
        <w:t xml:space="preserve">Din numărul total al inculpaților achitați, pentru un număr de 158 de inculpați, temeiul achitării a fost dezincriminarea faptei, cu 35 de inculpați mai mult decât 2017. </w:t>
      </w:r>
    </w:p>
    <w:p w:rsidR="00D04C5B" w:rsidRPr="002301D8" w:rsidRDefault="002301D8" w:rsidP="00A125AB">
      <w:pPr>
        <w:spacing w:after="0" w:line="360" w:lineRule="auto"/>
        <w:ind w:firstLine="1440"/>
        <w:jc w:val="both"/>
        <w:rPr>
          <w:rFonts w:ascii="Times New Roman" w:hAnsi="Times New Roman" w:cs="Times New Roman"/>
          <w:bCs/>
          <w:sz w:val="24"/>
          <w:szCs w:val="24"/>
          <w:lang w:val="ro-RO"/>
        </w:rPr>
      </w:pPr>
      <w:r w:rsidRPr="002301D8">
        <w:rPr>
          <w:rFonts w:ascii="Times New Roman" w:hAnsi="Times New Roman" w:cs="Times New Roman"/>
          <w:bCs/>
          <w:sz w:val="24"/>
          <w:szCs w:val="24"/>
          <w:lang w:val="ro-RO"/>
        </w:rPr>
        <w:t>Ponderea achitaților definitiv în totalul inculpaților trimiși în judecată a fost de 2,2%, față de 1,7% în anul 2017.</w:t>
      </w:r>
    </w:p>
    <w:p w:rsidR="002301D8" w:rsidRDefault="002301D8" w:rsidP="002301D8">
      <w:pPr>
        <w:spacing w:line="360" w:lineRule="auto"/>
        <w:ind w:firstLine="1440"/>
        <w:jc w:val="both"/>
        <w:rPr>
          <w:rFonts w:ascii="Times New Roman" w:hAnsi="Times New Roman" w:cs="Times New Roman"/>
          <w:bCs/>
          <w:sz w:val="24"/>
          <w:szCs w:val="24"/>
          <w:lang w:val="ro-RO"/>
        </w:rPr>
      </w:pPr>
      <w:r w:rsidRPr="002301D8">
        <w:rPr>
          <w:rFonts w:ascii="Times New Roman" w:hAnsi="Times New Roman" w:cs="Times New Roman"/>
          <w:bCs/>
          <w:sz w:val="24"/>
          <w:szCs w:val="24"/>
          <w:lang w:val="ro-RO"/>
        </w:rPr>
        <w:t xml:space="preserve">În anul 2018, instanțele de judecată au dispus </w:t>
      </w:r>
      <w:r w:rsidRPr="002301D8">
        <w:rPr>
          <w:rFonts w:ascii="Times New Roman" w:hAnsi="Times New Roman" w:cs="Times New Roman"/>
          <w:b/>
          <w:bCs/>
          <w:sz w:val="24"/>
          <w:szCs w:val="24"/>
          <w:lang w:val="ro-RO"/>
        </w:rPr>
        <w:t>restituirea și trimiterea dosarelor la procuror</w:t>
      </w:r>
      <w:r w:rsidRPr="002301D8">
        <w:rPr>
          <w:rFonts w:ascii="Times New Roman" w:hAnsi="Times New Roman" w:cs="Times New Roman"/>
          <w:bCs/>
          <w:sz w:val="24"/>
          <w:szCs w:val="24"/>
          <w:lang w:val="ro-RO"/>
        </w:rPr>
        <w:t xml:space="preserve"> într-un număr de 236 cauze (cu 21 mai multe decât în 2017), reprezentând 0,51% din </w:t>
      </w:r>
      <w:r w:rsidRPr="002301D8">
        <w:rPr>
          <w:rFonts w:ascii="Times New Roman" w:hAnsi="Times New Roman" w:cs="Times New Roman"/>
          <w:bCs/>
          <w:sz w:val="24"/>
          <w:szCs w:val="24"/>
          <w:lang w:val="ro-RO"/>
        </w:rPr>
        <w:lastRenderedPageBreak/>
        <w:t>numărul trimiterilor în judecată.</w:t>
      </w:r>
      <w:r w:rsidRPr="002301D8">
        <w:rPr>
          <w:sz w:val="28"/>
          <w:szCs w:val="28"/>
          <w:lang w:val="ro-RO"/>
        </w:rPr>
        <w:t xml:space="preserve"> </w:t>
      </w:r>
      <w:r w:rsidRPr="002301D8">
        <w:rPr>
          <w:rFonts w:ascii="Times New Roman" w:hAnsi="Times New Roman" w:cs="Times New Roman"/>
          <w:bCs/>
          <w:sz w:val="24"/>
          <w:szCs w:val="24"/>
          <w:lang w:val="ro-RO"/>
        </w:rPr>
        <w:t>În cursul anului 2018 s-a înregistrat o creștere a numărului de hotărâri definitive prin care s-a dispus restituirea cauzei la procuror în baza dispozițiilor art. 346 alin. 3 din Codul de procedură penală și de trimitere a dosarului la procuror în baza art. 485 alin. 1 lit. b din cod.</w:t>
      </w:r>
    </w:p>
    <w:p w:rsidR="008D2B02" w:rsidRPr="00561E14" w:rsidRDefault="008D2B02" w:rsidP="00561E14">
      <w:pPr>
        <w:pStyle w:val="ListParagraph"/>
        <w:numPr>
          <w:ilvl w:val="0"/>
          <w:numId w:val="7"/>
        </w:numPr>
        <w:spacing w:after="0" w:line="360" w:lineRule="auto"/>
        <w:jc w:val="both"/>
        <w:rPr>
          <w:rFonts w:ascii="Times New Roman" w:hAnsi="Times New Roman" w:cs="Times New Roman"/>
          <w:b/>
          <w:bCs/>
          <w:sz w:val="24"/>
          <w:szCs w:val="24"/>
          <w:u w:val="single"/>
          <w:lang w:val="ro-RO"/>
        </w:rPr>
      </w:pPr>
      <w:r w:rsidRPr="00561E14">
        <w:rPr>
          <w:rFonts w:ascii="Times New Roman" w:hAnsi="Times New Roman" w:cs="Times New Roman"/>
          <w:b/>
          <w:bCs/>
          <w:sz w:val="24"/>
          <w:szCs w:val="24"/>
          <w:u w:val="single"/>
          <w:lang w:val="ro-RO"/>
        </w:rPr>
        <w:t>Direcții autonome și secții din cadul PÎCCJ</w:t>
      </w:r>
    </w:p>
    <w:p w:rsidR="008D2B02" w:rsidRPr="008D2B02" w:rsidRDefault="008D2B02" w:rsidP="00561E14">
      <w:pPr>
        <w:spacing w:after="0" w:line="360" w:lineRule="auto"/>
        <w:ind w:firstLine="1440"/>
        <w:jc w:val="both"/>
        <w:rPr>
          <w:rFonts w:ascii="Times New Roman" w:hAnsi="Times New Roman" w:cs="Times New Roman"/>
          <w:b/>
          <w:bCs/>
          <w:sz w:val="24"/>
          <w:szCs w:val="24"/>
          <w:u w:val="single"/>
          <w:lang w:val="ro-RO"/>
        </w:rPr>
      </w:pPr>
      <w:r w:rsidRPr="008D2B02">
        <w:rPr>
          <w:rFonts w:ascii="Times New Roman" w:hAnsi="Times New Roman" w:cs="Times New Roman"/>
          <w:b/>
          <w:bCs/>
          <w:sz w:val="24"/>
          <w:szCs w:val="24"/>
          <w:u w:val="single"/>
          <w:lang w:val="ro-RO"/>
        </w:rPr>
        <w:t>Direcția Națională Anticorupție</w:t>
      </w:r>
    </w:p>
    <w:p w:rsidR="008D2B02" w:rsidRPr="00342B38" w:rsidRDefault="008D2B02" w:rsidP="00561E14">
      <w:pPr>
        <w:spacing w:after="0" w:line="360" w:lineRule="auto"/>
        <w:ind w:firstLine="1440"/>
        <w:jc w:val="both"/>
        <w:rPr>
          <w:rFonts w:ascii="Times New Roman" w:hAnsi="Times New Roman" w:cs="Times New Roman"/>
          <w:bCs/>
          <w:sz w:val="24"/>
          <w:szCs w:val="24"/>
          <w:lang w:val="ro-RO"/>
        </w:rPr>
      </w:pPr>
      <w:r w:rsidRPr="00342B38">
        <w:rPr>
          <w:rFonts w:ascii="Times New Roman" w:hAnsi="Times New Roman" w:cs="Times New Roman"/>
          <w:bCs/>
          <w:sz w:val="24"/>
          <w:szCs w:val="24"/>
          <w:lang w:val="ro-RO"/>
        </w:rPr>
        <w:t xml:space="preserve">Schema de personal a Direcţiei, la finele anului 2018, era </w:t>
      </w:r>
      <w:r w:rsidRPr="00342B38">
        <w:rPr>
          <w:rFonts w:ascii="Times New Roman" w:hAnsi="Times New Roman" w:cs="Times New Roman"/>
          <w:b/>
          <w:bCs/>
          <w:sz w:val="24"/>
          <w:szCs w:val="24"/>
          <w:lang w:val="ro-RO"/>
        </w:rPr>
        <w:t>ocupată în proporţie de 89,83%</w:t>
      </w:r>
      <w:r w:rsidRPr="00342B38">
        <w:rPr>
          <w:rFonts w:ascii="Times New Roman" w:hAnsi="Times New Roman" w:cs="Times New Roman"/>
          <w:bCs/>
          <w:sz w:val="24"/>
          <w:szCs w:val="24"/>
          <w:lang w:val="ro-RO"/>
        </w:rPr>
        <w:t xml:space="preserve">, iar activitatea a fost desfăşurată cu 88,43% din personalul prevăzut în organigramă. </w:t>
      </w:r>
      <w:r w:rsidRPr="00342B38">
        <w:rPr>
          <w:rFonts w:ascii="Times New Roman" w:hAnsi="Times New Roman" w:cs="Times New Roman"/>
          <w:b/>
          <w:bCs/>
          <w:sz w:val="24"/>
          <w:szCs w:val="24"/>
          <w:lang w:val="ro-RO"/>
        </w:rPr>
        <w:t xml:space="preserve">Fluctuaţia personalului </w:t>
      </w:r>
      <w:r w:rsidRPr="00342B38">
        <w:rPr>
          <w:rFonts w:ascii="Times New Roman" w:hAnsi="Times New Roman" w:cs="Times New Roman"/>
          <w:bCs/>
          <w:sz w:val="24"/>
          <w:szCs w:val="24"/>
          <w:lang w:val="ro-RO"/>
        </w:rPr>
        <w:t xml:space="preserve">s-a manifestat prin încadrarea a 42 persoane, dintre care 25 procurori şi încetarea raporturilor de muncă a 68 persoane, dintre care 39 procurori. </w:t>
      </w:r>
    </w:p>
    <w:p w:rsidR="008D2B02" w:rsidRPr="00342B38" w:rsidRDefault="008D2B02" w:rsidP="00561E14">
      <w:pPr>
        <w:spacing w:after="0" w:line="360" w:lineRule="auto"/>
        <w:ind w:firstLine="1440"/>
        <w:jc w:val="both"/>
        <w:rPr>
          <w:rFonts w:ascii="Times New Roman" w:hAnsi="Times New Roman" w:cs="Times New Roman"/>
          <w:bCs/>
          <w:sz w:val="24"/>
          <w:szCs w:val="24"/>
          <w:lang w:val="ro-RO"/>
        </w:rPr>
      </w:pPr>
      <w:r w:rsidRPr="00342B38">
        <w:rPr>
          <w:rFonts w:ascii="Times New Roman" w:hAnsi="Times New Roman" w:cs="Times New Roman"/>
          <w:b/>
          <w:bCs/>
          <w:sz w:val="24"/>
          <w:szCs w:val="24"/>
          <w:lang w:val="ro-RO"/>
        </w:rPr>
        <w:t xml:space="preserve">Activitatea de urmărire penală. </w:t>
      </w:r>
      <w:r w:rsidRPr="00342B38">
        <w:rPr>
          <w:rFonts w:ascii="Times New Roman" w:hAnsi="Times New Roman" w:cs="Times New Roman"/>
          <w:bCs/>
          <w:sz w:val="24"/>
          <w:szCs w:val="24"/>
          <w:lang w:val="ro-RO"/>
        </w:rPr>
        <w:t xml:space="preserve">În perioada de referinţă, activitatea de urmărire penală a fost desfășurată, în medie, de </w:t>
      </w:r>
      <w:r w:rsidRPr="00342B38">
        <w:rPr>
          <w:rFonts w:ascii="Times New Roman" w:hAnsi="Times New Roman" w:cs="Times New Roman"/>
          <w:b/>
          <w:bCs/>
          <w:sz w:val="24"/>
          <w:szCs w:val="24"/>
          <w:lang w:val="ro-RO"/>
        </w:rPr>
        <w:t xml:space="preserve">109 procurori </w:t>
      </w:r>
      <w:r w:rsidRPr="00342B38">
        <w:rPr>
          <w:rFonts w:ascii="Times New Roman" w:hAnsi="Times New Roman" w:cs="Times New Roman"/>
          <w:bCs/>
          <w:sz w:val="24"/>
          <w:szCs w:val="24"/>
          <w:lang w:val="ro-RO"/>
        </w:rPr>
        <w:t xml:space="preserve">care au avut </w:t>
      </w:r>
      <w:r w:rsidRPr="00342B38">
        <w:rPr>
          <w:rFonts w:ascii="Times New Roman" w:hAnsi="Times New Roman" w:cs="Times New Roman"/>
          <w:b/>
          <w:bCs/>
          <w:sz w:val="24"/>
          <w:szCs w:val="24"/>
          <w:lang w:val="ro-RO"/>
        </w:rPr>
        <w:t>de soluționat 9.191 cauze</w:t>
      </w:r>
      <w:r w:rsidRPr="00342B38">
        <w:rPr>
          <w:rFonts w:ascii="Times New Roman" w:hAnsi="Times New Roman" w:cs="Times New Roman"/>
          <w:bCs/>
          <w:sz w:val="24"/>
          <w:szCs w:val="24"/>
          <w:lang w:val="ro-RO"/>
        </w:rPr>
        <w:t>.</w:t>
      </w:r>
      <w:r w:rsidRPr="00342B38">
        <w:rPr>
          <w:b/>
          <w:bCs/>
          <w:sz w:val="28"/>
          <w:szCs w:val="28"/>
          <w:lang w:val="ro-RO"/>
        </w:rPr>
        <w:t xml:space="preserve"> </w:t>
      </w:r>
      <w:r w:rsidRPr="00342B38">
        <w:rPr>
          <w:rFonts w:ascii="Times New Roman" w:hAnsi="Times New Roman" w:cs="Times New Roman"/>
          <w:b/>
          <w:bCs/>
          <w:sz w:val="24"/>
          <w:szCs w:val="24"/>
          <w:lang w:val="ro-RO"/>
        </w:rPr>
        <w:t xml:space="preserve">S-au soluționat </w:t>
      </w:r>
      <w:r w:rsidRPr="00342B38">
        <w:rPr>
          <w:rFonts w:ascii="Times New Roman" w:hAnsi="Times New Roman" w:cs="Times New Roman"/>
          <w:bCs/>
          <w:sz w:val="24"/>
          <w:szCs w:val="24"/>
          <w:lang w:val="ro-RO"/>
        </w:rPr>
        <w:t xml:space="preserve">pe fond </w:t>
      </w:r>
      <w:r w:rsidRPr="00342B38">
        <w:rPr>
          <w:rFonts w:ascii="Times New Roman" w:hAnsi="Times New Roman" w:cs="Times New Roman"/>
          <w:b/>
          <w:bCs/>
          <w:sz w:val="24"/>
          <w:szCs w:val="24"/>
          <w:lang w:val="ro-RO"/>
        </w:rPr>
        <w:t>3.547 dosare</w:t>
      </w:r>
      <w:r w:rsidRPr="00342B38">
        <w:rPr>
          <w:rFonts w:ascii="Times New Roman" w:hAnsi="Times New Roman" w:cs="Times New Roman"/>
          <w:bCs/>
          <w:sz w:val="24"/>
          <w:szCs w:val="24"/>
          <w:lang w:val="ro-RO"/>
        </w:rPr>
        <w:t xml:space="preserve">. </w:t>
      </w:r>
      <w:r w:rsidRPr="00342B38">
        <w:rPr>
          <w:rFonts w:ascii="Times New Roman" w:hAnsi="Times New Roman" w:cs="Times New Roman"/>
          <w:b/>
          <w:bCs/>
          <w:sz w:val="24"/>
          <w:szCs w:val="24"/>
          <w:lang w:val="ro-RO"/>
        </w:rPr>
        <w:t xml:space="preserve">În 196 cauze </w:t>
      </w:r>
      <w:r w:rsidRPr="00342B38">
        <w:rPr>
          <w:rFonts w:ascii="Times New Roman" w:hAnsi="Times New Roman" w:cs="Times New Roman"/>
          <w:bCs/>
          <w:sz w:val="24"/>
          <w:szCs w:val="24"/>
          <w:lang w:val="ro-RO"/>
        </w:rPr>
        <w:t xml:space="preserve">s-a dispus </w:t>
      </w:r>
      <w:r w:rsidRPr="00342B38">
        <w:rPr>
          <w:rFonts w:ascii="Times New Roman" w:hAnsi="Times New Roman" w:cs="Times New Roman"/>
          <w:b/>
          <w:bCs/>
          <w:sz w:val="24"/>
          <w:szCs w:val="24"/>
          <w:lang w:val="ro-RO"/>
        </w:rPr>
        <w:t>trimiterea în judecată</w:t>
      </w:r>
      <w:r>
        <w:rPr>
          <w:rFonts w:ascii="Times New Roman" w:hAnsi="Times New Roman" w:cs="Times New Roman"/>
          <w:bCs/>
          <w:sz w:val="24"/>
          <w:szCs w:val="24"/>
          <w:lang w:val="ro-RO"/>
        </w:rPr>
        <w:t xml:space="preserve">. </w:t>
      </w:r>
      <w:r w:rsidRPr="00342B38">
        <w:rPr>
          <w:rFonts w:ascii="Times New Roman" w:hAnsi="Times New Roman" w:cs="Times New Roman"/>
          <w:bCs/>
          <w:sz w:val="24"/>
          <w:szCs w:val="24"/>
          <w:lang w:val="ro-RO"/>
        </w:rPr>
        <w:t xml:space="preserve">Au fost trimiși în judecată </w:t>
      </w:r>
      <w:r w:rsidRPr="00342B38">
        <w:rPr>
          <w:rFonts w:ascii="Times New Roman" w:hAnsi="Times New Roman" w:cs="Times New Roman"/>
          <w:b/>
          <w:bCs/>
          <w:sz w:val="24"/>
          <w:szCs w:val="24"/>
          <w:lang w:val="ro-RO"/>
        </w:rPr>
        <w:t>556 de inculpați</w:t>
      </w:r>
      <w:r w:rsidRPr="00342B38">
        <w:rPr>
          <w:rFonts w:ascii="Times New Roman" w:hAnsi="Times New Roman" w:cs="Times New Roman"/>
          <w:bCs/>
          <w:sz w:val="24"/>
          <w:szCs w:val="24"/>
          <w:lang w:val="ro-RO"/>
        </w:rPr>
        <w:t xml:space="preserve">, 501 prin rechizitoriu şi 55 prin acorduri de recunoaștere a vinovăției, dintre care </w:t>
      </w:r>
      <w:r w:rsidRPr="00342B38">
        <w:rPr>
          <w:rFonts w:ascii="Times New Roman" w:hAnsi="Times New Roman" w:cs="Times New Roman"/>
          <w:b/>
          <w:bCs/>
          <w:sz w:val="24"/>
          <w:szCs w:val="24"/>
          <w:lang w:val="ro-RO"/>
        </w:rPr>
        <w:t>65 sunt persoane juridice</w:t>
      </w:r>
      <w:r w:rsidRPr="00342B38">
        <w:rPr>
          <w:rFonts w:ascii="Times New Roman" w:hAnsi="Times New Roman" w:cs="Times New Roman"/>
          <w:bCs/>
          <w:sz w:val="24"/>
          <w:szCs w:val="24"/>
          <w:lang w:val="ro-RO"/>
        </w:rPr>
        <w:t xml:space="preserve">. </w:t>
      </w:r>
    </w:p>
    <w:p w:rsidR="008D2B02" w:rsidRPr="00D739A9" w:rsidRDefault="008D2B02" w:rsidP="00561E14">
      <w:pPr>
        <w:spacing w:after="0" w:line="360" w:lineRule="auto"/>
        <w:ind w:firstLine="1440"/>
        <w:jc w:val="both"/>
        <w:rPr>
          <w:rFonts w:ascii="Times New Roman" w:hAnsi="Times New Roman" w:cs="Times New Roman"/>
          <w:bCs/>
          <w:sz w:val="24"/>
          <w:szCs w:val="24"/>
          <w:lang w:val="ro-RO"/>
        </w:rPr>
      </w:pPr>
      <w:r w:rsidRPr="00D739A9">
        <w:rPr>
          <w:rFonts w:ascii="Times New Roman" w:hAnsi="Times New Roman" w:cs="Times New Roman"/>
          <w:bCs/>
          <w:sz w:val="24"/>
          <w:szCs w:val="24"/>
          <w:lang w:val="ro-RO"/>
        </w:rPr>
        <w:t xml:space="preserve">Au fost dispuse </w:t>
      </w:r>
      <w:r w:rsidRPr="00D739A9">
        <w:rPr>
          <w:rFonts w:ascii="Times New Roman" w:hAnsi="Times New Roman" w:cs="Times New Roman"/>
          <w:b/>
          <w:bCs/>
          <w:sz w:val="24"/>
          <w:szCs w:val="24"/>
          <w:lang w:val="ro-RO"/>
        </w:rPr>
        <w:t xml:space="preserve">măsuri preventive </w:t>
      </w:r>
      <w:r w:rsidRPr="00D739A9">
        <w:rPr>
          <w:rFonts w:ascii="Times New Roman" w:hAnsi="Times New Roman" w:cs="Times New Roman"/>
          <w:bCs/>
          <w:sz w:val="24"/>
          <w:szCs w:val="24"/>
          <w:lang w:val="ro-RO"/>
        </w:rPr>
        <w:t xml:space="preserve">(de orice fel) faţă de </w:t>
      </w:r>
      <w:r w:rsidRPr="00D739A9">
        <w:rPr>
          <w:rFonts w:ascii="Times New Roman" w:hAnsi="Times New Roman" w:cs="Times New Roman"/>
          <w:b/>
          <w:bCs/>
          <w:sz w:val="24"/>
          <w:szCs w:val="24"/>
          <w:lang w:val="ro-RO"/>
        </w:rPr>
        <w:t xml:space="preserve">90 inculpaţi </w:t>
      </w:r>
      <w:r w:rsidRPr="00D739A9">
        <w:rPr>
          <w:rFonts w:ascii="Times New Roman" w:hAnsi="Times New Roman" w:cs="Times New Roman"/>
          <w:bCs/>
          <w:sz w:val="24"/>
          <w:szCs w:val="24"/>
          <w:lang w:val="ro-RO"/>
        </w:rPr>
        <w:t>persoane fizice şi juridice</w:t>
      </w:r>
      <w:r w:rsidR="00561E14" w:rsidRPr="00D739A9">
        <w:rPr>
          <w:rFonts w:ascii="Times New Roman" w:hAnsi="Times New Roman" w:cs="Times New Roman"/>
          <w:bCs/>
          <w:sz w:val="24"/>
          <w:szCs w:val="24"/>
          <w:lang w:val="ro-RO"/>
        </w:rPr>
        <w:t xml:space="preserve">,  </w:t>
      </w:r>
      <w:r w:rsidRPr="00D739A9">
        <w:rPr>
          <w:rFonts w:ascii="Times New Roman" w:hAnsi="Times New Roman" w:cs="Times New Roman"/>
          <w:b/>
          <w:bCs/>
          <w:sz w:val="24"/>
          <w:szCs w:val="24"/>
          <w:lang w:val="ro-RO"/>
        </w:rPr>
        <w:t xml:space="preserve">33 </w:t>
      </w:r>
      <w:r w:rsidRPr="00D739A9">
        <w:rPr>
          <w:rFonts w:ascii="Times New Roman" w:hAnsi="Times New Roman" w:cs="Times New Roman"/>
          <w:bCs/>
          <w:sz w:val="24"/>
          <w:szCs w:val="24"/>
          <w:lang w:val="ro-RO"/>
        </w:rPr>
        <w:t>dintre aceştia</w:t>
      </w:r>
      <w:r w:rsidR="00561E14" w:rsidRPr="00D739A9">
        <w:rPr>
          <w:rFonts w:ascii="Times New Roman" w:hAnsi="Times New Roman" w:cs="Times New Roman"/>
          <w:bCs/>
          <w:sz w:val="24"/>
          <w:szCs w:val="24"/>
          <w:lang w:val="ro-RO"/>
        </w:rPr>
        <w:t xml:space="preserve"> aflându-se</w:t>
      </w:r>
      <w:r w:rsidRPr="00D739A9">
        <w:rPr>
          <w:rFonts w:ascii="Times New Roman" w:hAnsi="Times New Roman" w:cs="Times New Roman"/>
          <w:bCs/>
          <w:sz w:val="24"/>
          <w:szCs w:val="24"/>
          <w:lang w:val="ro-RO"/>
        </w:rPr>
        <w:t xml:space="preserve"> în stare de </w:t>
      </w:r>
      <w:r w:rsidRPr="00D739A9">
        <w:rPr>
          <w:rFonts w:ascii="Times New Roman" w:hAnsi="Times New Roman" w:cs="Times New Roman"/>
          <w:b/>
          <w:bCs/>
          <w:sz w:val="24"/>
          <w:szCs w:val="24"/>
          <w:lang w:val="ro-RO"/>
        </w:rPr>
        <w:t>arest preventiv</w:t>
      </w:r>
      <w:r w:rsidRPr="00D739A9">
        <w:rPr>
          <w:rFonts w:ascii="Times New Roman" w:hAnsi="Times New Roman" w:cs="Times New Roman"/>
          <w:bCs/>
          <w:sz w:val="24"/>
          <w:szCs w:val="24"/>
          <w:lang w:val="ro-RO"/>
        </w:rPr>
        <w:t xml:space="preserve">. </w:t>
      </w:r>
    </w:p>
    <w:p w:rsidR="008D2B02" w:rsidRPr="00342B38" w:rsidRDefault="008D2B02" w:rsidP="00561E14">
      <w:pPr>
        <w:spacing w:after="0" w:line="360" w:lineRule="auto"/>
        <w:ind w:firstLine="1440"/>
        <w:jc w:val="both"/>
        <w:rPr>
          <w:rFonts w:ascii="Times New Roman" w:hAnsi="Times New Roman" w:cs="Times New Roman"/>
          <w:bCs/>
          <w:sz w:val="24"/>
          <w:szCs w:val="24"/>
          <w:lang w:val="ro-RO"/>
        </w:rPr>
      </w:pPr>
      <w:r w:rsidRPr="00342B38">
        <w:rPr>
          <w:rFonts w:ascii="Times New Roman" w:hAnsi="Times New Roman" w:cs="Times New Roman"/>
          <w:bCs/>
          <w:sz w:val="24"/>
          <w:szCs w:val="24"/>
          <w:lang w:val="ro-RO"/>
        </w:rPr>
        <w:t xml:space="preserve">Prin cele </w:t>
      </w:r>
      <w:r w:rsidRPr="00342B38">
        <w:rPr>
          <w:rFonts w:ascii="Times New Roman" w:hAnsi="Times New Roman" w:cs="Times New Roman"/>
          <w:b/>
          <w:bCs/>
          <w:sz w:val="24"/>
          <w:szCs w:val="24"/>
          <w:lang w:val="ro-RO"/>
        </w:rPr>
        <w:t xml:space="preserve">196 </w:t>
      </w:r>
      <w:r w:rsidRPr="00342B38">
        <w:rPr>
          <w:rFonts w:ascii="Times New Roman" w:hAnsi="Times New Roman" w:cs="Times New Roman"/>
          <w:bCs/>
          <w:sz w:val="24"/>
          <w:szCs w:val="24"/>
          <w:lang w:val="ro-RO"/>
        </w:rPr>
        <w:t xml:space="preserve">de rechizitorii și acorduri de recunoaștere a vinovăției au fost deduse judecății un număr de </w:t>
      </w:r>
      <w:r w:rsidRPr="00342B38">
        <w:rPr>
          <w:rFonts w:ascii="Times New Roman" w:hAnsi="Times New Roman" w:cs="Times New Roman"/>
          <w:b/>
          <w:bCs/>
          <w:sz w:val="24"/>
          <w:szCs w:val="24"/>
          <w:lang w:val="ro-RO"/>
        </w:rPr>
        <w:t>1.136 infracțiuni</w:t>
      </w:r>
      <w:r w:rsidRPr="00342B38">
        <w:rPr>
          <w:rFonts w:ascii="Times New Roman" w:hAnsi="Times New Roman" w:cs="Times New Roman"/>
          <w:bCs/>
          <w:sz w:val="24"/>
          <w:szCs w:val="24"/>
          <w:lang w:val="ro-RO"/>
        </w:rPr>
        <w:t xml:space="preserve">. </w:t>
      </w:r>
    </w:p>
    <w:p w:rsidR="008D2B02" w:rsidRPr="00342B38" w:rsidRDefault="008D2B02" w:rsidP="00561E14">
      <w:pPr>
        <w:spacing w:after="0" w:line="360" w:lineRule="auto"/>
        <w:ind w:firstLine="1440"/>
        <w:jc w:val="both"/>
        <w:rPr>
          <w:rFonts w:ascii="Times New Roman" w:hAnsi="Times New Roman" w:cs="Times New Roman"/>
          <w:bCs/>
          <w:sz w:val="24"/>
          <w:szCs w:val="24"/>
          <w:lang w:val="ro-RO"/>
        </w:rPr>
      </w:pPr>
      <w:r w:rsidRPr="00342B38">
        <w:rPr>
          <w:rFonts w:ascii="Times New Roman" w:hAnsi="Times New Roman" w:cs="Times New Roman"/>
          <w:b/>
          <w:bCs/>
          <w:sz w:val="24"/>
          <w:szCs w:val="24"/>
          <w:lang w:val="ro-RO"/>
        </w:rPr>
        <w:t xml:space="preserve">Cuantumul prejudiciului </w:t>
      </w:r>
      <w:r w:rsidRPr="00342B38">
        <w:rPr>
          <w:rFonts w:ascii="Times New Roman" w:hAnsi="Times New Roman" w:cs="Times New Roman"/>
          <w:bCs/>
          <w:sz w:val="24"/>
          <w:szCs w:val="24"/>
          <w:lang w:val="ro-RO"/>
        </w:rPr>
        <w:t xml:space="preserve">reţinut în actele de inculpare este de </w:t>
      </w:r>
      <w:r w:rsidRPr="00342B38">
        <w:rPr>
          <w:rFonts w:ascii="Times New Roman" w:hAnsi="Times New Roman" w:cs="Times New Roman"/>
          <w:b/>
          <w:bCs/>
          <w:sz w:val="24"/>
          <w:szCs w:val="24"/>
          <w:lang w:val="ro-RO"/>
        </w:rPr>
        <w:t xml:space="preserve">412,7 </w:t>
      </w:r>
      <w:r w:rsidRPr="00342B38">
        <w:rPr>
          <w:rFonts w:ascii="Times New Roman" w:hAnsi="Times New Roman" w:cs="Times New Roman"/>
          <w:bCs/>
          <w:sz w:val="24"/>
          <w:szCs w:val="24"/>
          <w:lang w:val="ro-RO"/>
        </w:rPr>
        <w:t xml:space="preserve">milioane euro, în creștere cu </w:t>
      </w:r>
      <w:r w:rsidRPr="00342B38">
        <w:rPr>
          <w:rFonts w:ascii="Times New Roman" w:hAnsi="Times New Roman" w:cs="Times New Roman"/>
          <w:b/>
          <w:bCs/>
          <w:sz w:val="24"/>
          <w:szCs w:val="24"/>
          <w:lang w:val="ro-RO"/>
        </w:rPr>
        <w:t xml:space="preserve">85% </w:t>
      </w:r>
      <w:r w:rsidRPr="00342B38">
        <w:rPr>
          <w:rFonts w:ascii="Times New Roman" w:hAnsi="Times New Roman" w:cs="Times New Roman"/>
          <w:bCs/>
          <w:sz w:val="24"/>
          <w:szCs w:val="24"/>
          <w:lang w:val="ro-RO"/>
        </w:rPr>
        <w:t xml:space="preserve">față de anul 2017, iar </w:t>
      </w:r>
      <w:r w:rsidRPr="00342B38">
        <w:rPr>
          <w:rFonts w:ascii="Times New Roman" w:hAnsi="Times New Roman" w:cs="Times New Roman"/>
          <w:b/>
          <w:bCs/>
          <w:sz w:val="24"/>
          <w:szCs w:val="24"/>
          <w:lang w:val="ro-RO"/>
        </w:rPr>
        <w:t xml:space="preserve">valoarea măsurilor asigurătorii </w:t>
      </w:r>
      <w:r w:rsidRPr="00342B38">
        <w:rPr>
          <w:rFonts w:ascii="Times New Roman" w:hAnsi="Times New Roman" w:cs="Times New Roman"/>
          <w:bCs/>
          <w:sz w:val="24"/>
          <w:szCs w:val="24"/>
          <w:lang w:val="ro-RO"/>
        </w:rPr>
        <w:t xml:space="preserve">dispuse de procurori pentru repararea pagubei este de 400,1 milioane euro, în creștere cu </w:t>
      </w:r>
      <w:r w:rsidRPr="00342B38">
        <w:rPr>
          <w:rFonts w:ascii="Times New Roman" w:hAnsi="Times New Roman" w:cs="Times New Roman"/>
          <w:b/>
          <w:bCs/>
          <w:sz w:val="24"/>
          <w:szCs w:val="24"/>
          <w:lang w:val="ro-RO"/>
        </w:rPr>
        <w:t xml:space="preserve">139% </w:t>
      </w:r>
      <w:r w:rsidRPr="00342B38">
        <w:rPr>
          <w:rFonts w:ascii="Times New Roman" w:hAnsi="Times New Roman" w:cs="Times New Roman"/>
          <w:bCs/>
          <w:sz w:val="24"/>
          <w:szCs w:val="24"/>
          <w:lang w:val="ro-RO"/>
        </w:rPr>
        <w:t xml:space="preserve">față de anul 2017. </w:t>
      </w:r>
    </w:p>
    <w:p w:rsidR="008D2B02" w:rsidRPr="00342B38" w:rsidRDefault="008D2B02" w:rsidP="00561E14">
      <w:pPr>
        <w:spacing w:after="0" w:line="360" w:lineRule="auto"/>
        <w:ind w:firstLine="1440"/>
        <w:jc w:val="both"/>
        <w:rPr>
          <w:rFonts w:ascii="Times New Roman" w:hAnsi="Times New Roman" w:cs="Times New Roman"/>
          <w:bCs/>
          <w:sz w:val="24"/>
          <w:szCs w:val="24"/>
          <w:lang w:val="ro-RO"/>
        </w:rPr>
      </w:pPr>
      <w:r w:rsidRPr="00342B38">
        <w:rPr>
          <w:rFonts w:ascii="Times New Roman" w:hAnsi="Times New Roman" w:cs="Times New Roman"/>
          <w:bCs/>
          <w:sz w:val="24"/>
          <w:szCs w:val="24"/>
          <w:lang w:val="ro-RO"/>
        </w:rPr>
        <w:t xml:space="preserve">În anul 2018, au fost dispuse măsuri de supraveghere tehnică în 275 cauze, privind 2295 persoane supravegheate, în 53 cauze, privind 136 persoane, dispunându-se soluţii de trimitere în judecată. </w:t>
      </w:r>
    </w:p>
    <w:p w:rsidR="008D2B02" w:rsidRPr="00342B38" w:rsidRDefault="008D2B02" w:rsidP="00561E14">
      <w:pPr>
        <w:spacing w:after="0" w:line="360" w:lineRule="auto"/>
        <w:ind w:firstLine="1440"/>
        <w:jc w:val="both"/>
        <w:rPr>
          <w:rFonts w:ascii="Times New Roman" w:hAnsi="Times New Roman" w:cs="Times New Roman"/>
          <w:bCs/>
          <w:sz w:val="24"/>
          <w:szCs w:val="24"/>
          <w:lang w:val="ro-RO"/>
        </w:rPr>
      </w:pPr>
      <w:r w:rsidRPr="00342B38">
        <w:rPr>
          <w:rFonts w:ascii="Times New Roman" w:hAnsi="Times New Roman" w:cs="Times New Roman"/>
          <w:bCs/>
          <w:sz w:val="24"/>
          <w:szCs w:val="24"/>
          <w:lang w:val="ro-RO"/>
        </w:rPr>
        <w:t xml:space="preserve">În ceea ce privește </w:t>
      </w:r>
      <w:r w:rsidRPr="00342B38">
        <w:rPr>
          <w:rFonts w:ascii="Times New Roman" w:hAnsi="Times New Roman" w:cs="Times New Roman"/>
          <w:b/>
          <w:bCs/>
          <w:sz w:val="24"/>
          <w:szCs w:val="24"/>
          <w:lang w:val="ro-RO"/>
        </w:rPr>
        <w:t xml:space="preserve">operativitatea </w:t>
      </w:r>
      <w:r w:rsidRPr="00342B38">
        <w:rPr>
          <w:rFonts w:ascii="Times New Roman" w:hAnsi="Times New Roman" w:cs="Times New Roman"/>
          <w:bCs/>
          <w:sz w:val="24"/>
          <w:szCs w:val="24"/>
          <w:lang w:val="ro-RO"/>
        </w:rPr>
        <w:t xml:space="preserve">soluționării cauzelor, din cele </w:t>
      </w:r>
      <w:r w:rsidRPr="00342B38">
        <w:rPr>
          <w:rFonts w:ascii="Times New Roman" w:hAnsi="Times New Roman" w:cs="Times New Roman"/>
          <w:b/>
          <w:bCs/>
          <w:sz w:val="24"/>
          <w:szCs w:val="24"/>
          <w:lang w:val="ro-RO"/>
        </w:rPr>
        <w:t xml:space="preserve">3.547 </w:t>
      </w:r>
      <w:r w:rsidRPr="00342B38">
        <w:rPr>
          <w:rFonts w:ascii="Times New Roman" w:hAnsi="Times New Roman" w:cs="Times New Roman"/>
          <w:bCs/>
          <w:sz w:val="24"/>
          <w:szCs w:val="24"/>
          <w:lang w:val="ro-RO"/>
        </w:rPr>
        <w:t xml:space="preserve">cauze, </w:t>
      </w:r>
      <w:r w:rsidRPr="00342B38">
        <w:rPr>
          <w:rFonts w:ascii="Times New Roman" w:hAnsi="Times New Roman" w:cs="Times New Roman"/>
          <w:b/>
          <w:bCs/>
          <w:sz w:val="24"/>
          <w:szCs w:val="24"/>
          <w:lang w:val="ro-RO"/>
        </w:rPr>
        <w:t xml:space="preserve">600 </w:t>
      </w:r>
      <w:r w:rsidRPr="00342B38">
        <w:rPr>
          <w:rFonts w:ascii="Times New Roman" w:hAnsi="Times New Roman" w:cs="Times New Roman"/>
          <w:bCs/>
          <w:sz w:val="24"/>
          <w:szCs w:val="24"/>
          <w:lang w:val="ro-RO"/>
        </w:rPr>
        <w:t xml:space="preserve">au fost soluționate până în 6 luni de la prima sesizare, </w:t>
      </w:r>
      <w:r w:rsidRPr="00342B38">
        <w:rPr>
          <w:rFonts w:ascii="Times New Roman" w:hAnsi="Times New Roman" w:cs="Times New Roman"/>
          <w:b/>
          <w:bCs/>
          <w:sz w:val="24"/>
          <w:szCs w:val="24"/>
          <w:lang w:val="ro-RO"/>
        </w:rPr>
        <w:t xml:space="preserve">387 </w:t>
      </w:r>
      <w:r w:rsidRPr="00342B38">
        <w:rPr>
          <w:rFonts w:ascii="Times New Roman" w:hAnsi="Times New Roman" w:cs="Times New Roman"/>
          <w:bCs/>
          <w:sz w:val="24"/>
          <w:szCs w:val="24"/>
          <w:lang w:val="ro-RO"/>
        </w:rPr>
        <w:t xml:space="preserve">au fost soluționate între 6 luni și 1 an de la prima sesizare, </w:t>
      </w:r>
      <w:r w:rsidRPr="00342B38">
        <w:rPr>
          <w:rFonts w:ascii="Times New Roman" w:hAnsi="Times New Roman" w:cs="Times New Roman"/>
          <w:b/>
          <w:bCs/>
          <w:sz w:val="24"/>
          <w:szCs w:val="24"/>
          <w:lang w:val="ro-RO"/>
        </w:rPr>
        <w:t xml:space="preserve">2.455 </w:t>
      </w:r>
      <w:r w:rsidRPr="00342B38">
        <w:rPr>
          <w:rFonts w:ascii="Times New Roman" w:hAnsi="Times New Roman" w:cs="Times New Roman"/>
          <w:bCs/>
          <w:sz w:val="24"/>
          <w:szCs w:val="24"/>
          <w:lang w:val="ro-RO"/>
        </w:rPr>
        <w:t>au fost soluționate peste 1 an de la prima sesizare</w:t>
      </w:r>
      <w:r w:rsidR="00561E14">
        <w:rPr>
          <w:rFonts w:ascii="Times New Roman" w:hAnsi="Times New Roman" w:cs="Times New Roman"/>
          <w:bCs/>
          <w:sz w:val="24"/>
          <w:szCs w:val="24"/>
          <w:lang w:val="ro-RO"/>
        </w:rPr>
        <w:t>,</w:t>
      </w:r>
      <w:r w:rsidRPr="00342B38">
        <w:rPr>
          <w:rFonts w:ascii="Times New Roman" w:hAnsi="Times New Roman" w:cs="Times New Roman"/>
          <w:bCs/>
          <w:sz w:val="24"/>
          <w:szCs w:val="24"/>
          <w:lang w:val="ro-RO"/>
        </w:rPr>
        <w:t xml:space="preserve"> iar </w:t>
      </w:r>
      <w:r w:rsidRPr="00342B38">
        <w:rPr>
          <w:rFonts w:ascii="Times New Roman" w:hAnsi="Times New Roman" w:cs="Times New Roman"/>
          <w:b/>
          <w:bCs/>
          <w:sz w:val="24"/>
          <w:szCs w:val="24"/>
          <w:lang w:val="ro-RO"/>
        </w:rPr>
        <w:t xml:space="preserve">105 </w:t>
      </w:r>
      <w:r w:rsidRPr="00342B38">
        <w:rPr>
          <w:rFonts w:ascii="Times New Roman" w:hAnsi="Times New Roman" w:cs="Times New Roman"/>
          <w:bCs/>
          <w:sz w:val="24"/>
          <w:szCs w:val="24"/>
          <w:lang w:val="ro-RO"/>
        </w:rPr>
        <w:t xml:space="preserve">cauze au fost soluționate după împlinirea termenului de prescripție. </w:t>
      </w:r>
    </w:p>
    <w:p w:rsidR="008D2B02" w:rsidRDefault="008D2B02" w:rsidP="00561E14">
      <w:pPr>
        <w:spacing w:after="0" w:line="360" w:lineRule="auto"/>
        <w:ind w:firstLine="1440"/>
        <w:jc w:val="both"/>
        <w:rPr>
          <w:rFonts w:ascii="Times New Roman" w:hAnsi="Times New Roman" w:cs="Times New Roman"/>
          <w:bCs/>
          <w:sz w:val="24"/>
          <w:szCs w:val="24"/>
          <w:lang w:val="ro-RO"/>
        </w:rPr>
      </w:pPr>
      <w:r w:rsidRPr="00342B38">
        <w:rPr>
          <w:rFonts w:ascii="Times New Roman" w:hAnsi="Times New Roman" w:cs="Times New Roman"/>
          <w:bCs/>
          <w:sz w:val="24"/>
          <w:szCs w:val="24"/>
          <w:lang w:val="ro-RO"/>
        </w:rPr>
        <w:t xml:space="preserve">Au fost dispuse soluţii de clasare ca urmare a intervenirii prescripţiei răspunderii penale față de </w:t>
      </w:r>
      <w:r w:rsidRPr="00342B38">
        <w:rPr>
          <w:rFonts w:ascii="Times New Roman" w:hAnsi="Times New Roman" w:cs="Times New Roman"/>
          <w:b/>
          <w:bCs/>
          <w:sz w:val="24"/>
          <w:szCs w:val="24"/>
          <w:lang w:val="ro-RO"/>
        </w:rPr>
        <w:t xml:space="preserve">139 </w:t>
      </w:r>
      <w:r w:rsidRPr="00342B38">
        <w:rPr>
          <w:rFonts w:ascii="Times New Roman" w:hAnsi="Times New Roman" w:cs="Times New Roman"/>
          <w:bCs/>
          <w:sz w:val="24"/>
          <w:szCs w:val="24"/>
          <w:lang w:val="ro-RO"/>
        </w:rPr>
        <w:t xml:space="preserve">persoane, din care </w:t>
      </w:r>
      <w:r w:rsidRPr="00342B38">
        <w:rPr>
          <w:rFonts w:ascii="Times New Roman" w:hAnsi="Times New Roman" w:cs="Times New Roman"/>
          <w:b/>
          <w:bCs/>
          <w:sz w:val="24"/>
          <w:szCs w:val="24"/>
          <w:lang w:val="ro-RO"/>
        </w:rPr>
        <w:t xml:space="preserve">137 </w:t>
      </w:r>
      <w:r w:rsidRPr="00342B38">
        <w:rPr>
          <w:rFonts w:ascii="Times New Roman" w:hAnsi="Times New Roman" w:cs="Times New Roman"/>
          <w:bCs/>
          <w:sz w:val="24"/>
          <w:szCs w:val="24"/>
          <w:lang w:val="ro-RO"/>
        </w:rPr>
        <w:t xml:space="preserve">autori cunoscuți și </w:t>
      </w:r>
      <w:r w:rsidRPr="00342B38">
        <w:rPr>
          <w:rFonts w:ascii="Times New Roman" w:hAnsi="Times New Roman" w:cs="Times New Roman"/>
          <w:b/>
          <w:bCs/>
          <w:sz w:val="24"/>
          <w:szCs w:val="24"/>
          <w:lang w:val="ro-RO"/>
        </w:rPr>
        <w:t xml:space="preserve">2 </w:t>
      </w:r>
      <w:r w:rsidRPr="00342B38">
        <w:rPr>
          <w:rFonts w:ascii="Times New Roman" w:hAnsi="Times New Roman" w:cs="Times New Roman"/>
          <w:bCs/>
          <w:sz w:val="24"/>
          <w:szCs w:val="24"/>
          <w:lang w:val="ro-RO"/>
        </w:rPr>
        <w:t xml:space="preserve">autori necunoscuţi. Din cele 137 persoane, față de </w:t>
      </w:r>
      <w:r w:rsidRPr="00342B38">
        <w:rPr>
          <w:rFonts w:ascii="Times New Roman" w:hAnsi="Times New Roman" w:cs="Times New Roman"/>
          <w:b/>
          <w:bCs/>
          <w:sz w:val="24"/>
          <w:szCs w:val="24"/>
          <w:lang w:val="ro-RO"/>
        </w:rPr>
        <w:t xml:space="preserve">97 </w:t>
      </w:r>
      <w:r w:rsidRPr="00342B38">
        <w:rPr>
          <w:rFonts w:ascii="Times New Roman" w:hAnsi="Times New Roman" w:cs="Times New Roman"/>
          <w:bCs/>
          <w:sz w:val="24"/>
          <w:szCs w:val="24"/>
          <w:lang w:val="ro-RO"/>
        </w:rPr>
        <w:t xml:space="preserve">s-a constatat că </w:t>
      </w:r>
      <w:r w:rsidRPr="00342B38">
        <w:rPr>
          <w:rFonts w:ascii="Times New Roman" w:hAnsi="Times New Roman" w:cs="Times New Roman"/>
          <w:b/>
          <w:bCs/>
          <w:sz w:val="24"/>
          <w:szCs w:val="24"/>
          <w:lang w:val="ro-RO"/>
        </w:rPr>
        <w:t xml:space="preserve">prescripţia a intervenit anterior sesizării </w:t>
      </w:r>
      <w:r w:rsidRPr="00342B38">
        <w:rPr>
          <w:rFonts w:ascii="Times New Roman" w:hAnsi="Times New Roman" w:cs="Times New Roman"/>
          <w:bCs/>
          <w:sz w:val="24"/>
          <w:szCs w:val="24"/>
          <w:lang w:val="ro-RO"/>
        </w:rPr>
        <w:t>organelor de urmărire penală.</w:t>
      </w:r>
    </w:p>
    <w:p w:rsidR="00561E14" w:rsidRDefault="00561E14" w:rsidP="008D2B02">
      <w:pPr>
        <w:spacing w:line="360" w:lineRule="auto"/>
        <w:ind w:firstLine="1440"/>
        <w:jc w:val="both"/>
        <w:rPr>
          <w:rFonts w:ascii="Times New Roman" w:hAnsi="Times New Roman" w:cs="Times New Roman"/>
          <w:bCs/>
          <w:sz w:val="24"/>
          <w:szCs w:val="24"/>
          <w:u w:val="single"/>
          <w:lang w:val="ro-RO"/>
        </w:rPr>
      </w:pPr>
    </w:p>
    <w:p w:rsidR="008D2B02" w:rsidRPr="008D2B02" w:rsidRDefault="008D2B02" w:rsidP="00561E14">
      <w:pPr>
        <w:spacing w:after="0" w:line="360" w:lineRule="auto"/>
        <w:ind w:firstLine="1440"/>
        <w:jc w:val="both"/>
        <w:rPr>
          <w:rFonts w:ascii="Times New Roman" w:hAnsi="Times New Roman" w:cs="Times New Roman"/>
          <w:bCs/>
          <w:sz w:val="24"/>
          <w:szCs w:val="24"/>
          <w:u w:val="single"/>
          <w:lang w:val="ro-RO"/>
        </w:rPr>
      </w:pPr>
      <w:r w:rsidRPr="008D2B02">
        <w:rPr>
          <w:rFonts w:ascii="Times New Roman" w:hAnsi="Times New Roman" w:cs="Times New Roman"/>
          <w:bCs/>
          <w:sz w:val="24"/>
          <w:szCs w:val="24"/>
          <w:u w:val="single"/>
          <w:lang w:val="ro-RO"/>
        </w:rPr>
        <w:t xml:space="preserve"> </w:t>
      </w:r>
      <w:r w:rsidRPr="008D2B02">
        <w:rPr>
          <w:rFonts w:ascii="Times New Roman" w:hAnsi="Times New Roman" w:cs="Times New Roman"/>
          <w:b/>
          <w:bCs/>
          <w:sz w:val="24"/>
          <w:szCs w:val="24"/>
          <w:u w:val="single"/>
          <w:lang w:val="ro-RO"/>
        </w:rPr>
        <w:t xml:space="preserve">Direcţia de Investigare a Infracţiunilor de Criminalitate Organizată şi Terorism </w:t>
      </w:r>
    </w:p>
    <w:p w:rsidR="008D2B02" w:rsidRPr="007F580C" w:rsidRDefault="008D2B02" w:rsidP="00561E14">
      <w:pPr>
        <w:spacing w:after="0" w:line="360" w:lineRule="auto"/>
        <w:ind w:firstLine="1440"/>
        <w:jc w:val="both"/>
        <w:rPr>
          <w:rFonts w:ascii="Times New Roman" w:hAnsi="Times New Roman" w:cs="Times New Roman"/>
          <w:bCs/>
          <w:sz w:val="24"/>
          <w:szCs w:val="24"/>
          <w:lang w:val="ro-RO"/>
        </w:rPr>
      </w:pPr>
      <w:r w:rsidRPr="007F580C">
        <w:rPr>
          <w:rFonts w:ascii="Times New Roman" w:hAnsi="Times New Roman" w:cs="Times New Roman"/>
          <w:b/>
          <w:bCs/>
          <w:i/>
          <w:iCs/>
          <w:sz w:val="24"/>
          <w:szCs w:val="24"/>
          <w:lang w:val="ro-RO"/>
        </w:rPr>
        <w:t xml:space="preserve">Activitatea de urmărire penală </w:t>
      </w:r>
    </w:p>
    <w:p w:rsidR="008D2B02" w:rsidRPr="007F580C" w:rsidRDefault="008D2B02" w:rsidP="00561E14">
      <w:pPr>
        <w:spacing w:after="0" w:line="360" w:lineRule="auto"/>
        <w:ind w:firstLine="1440"/>
        <w:jc w:val="both"/>
        <w:rPr>
          <w:rFonts w:ascii="Times New Roman" w:hAnsi="Times New Roman" w:cs="Times New Roman"/>
          <w:bCs/>
          <w:sz w:val="24"/>
          <w:szCs w:val="24"/>
          <w:lang w:val="ro-RO"/>
        </w:rPr>
      </w:pPr>
      <w:r w:rsidRPr="007F580C">
        <w:rPr>
          <w:rFonts w:ascii="Times New Roman" w:hAnsi="Times New Roman" w:cs="Times New Roman"/>
          <w:bCs/>
          <w:sz w:val="24"/>
          <w:szCs w:val="24"/>
          <w:lang w:val="ro-RO"/>
        </w:rPr>
        <w:t xml:space="preserve">În anul </w:t>
      </w:r>
      <w:r w:rsidRPr="007F580C">
        <w:rPr>
          <w:rFonts w:ascii="Times New Roman" w:hAnsi="Times New Roman" w:cs="Times New Roman"/>
          <w:b/>
          <w:bCs/>
          <w:sz w:val="24"/>
          <w:szCs w:val="24"/>
          <w:lang w:val="ro-RO"/>
        </w:rPr>
        <w:t>2018</w:t>
      </w:r>
      <w:r w:rsidRPr="007F580C">
        <w:rPr>
          <w:rFonts w:ascii="Times New Roman" w:hAnsi="Times New Roman" w:cs="Times New Roman"/>
          <w:bCs/>
          <w:sz w:val="24"/>
          <w:szCs w:val="24"/>
          <w:lang w:val="ro-RO"/>
        </w:rPr>
        <w:t xml:space="preserve">, numărul cauzelor </w:t>
      </w:r>
      <w:r w:rsidRPr="007F580C">
        <w:rPr>
          <w:rFonts w:ascii="Times New Roman" w:hAnsi="Times New Roman" w:cs="Times New Roman"/>
          <w:b/>
          <w:bCs/>
          <w:sz w:val="24"/>
          <w:szCs w:val="24"/>
          <w:lang w:val="ro-RO"/>
        </w:rPr>
        <w:t xml:space="preserve">de soluționat </w:t>
      </w:r>
      <w:r w:rsidRPr="007F580C">
        <w:rPr>
          <w:rFonts w:ascii="Times New Roman" w:hAnsi="Times New Roman" w:cs="Times New Roman"/>
          <w:bCs/>
          <w:sz w:val="24"/>
          <w:szCs w:val="24"/>
          <w:lang w:val="ro-RO"/>
        </w:rPr>
        <w:t xml:space="preserve">a fost de </w:t>
      </w:r>
      <w:r w:rsidRPr="007F580C">
        <w:rPr>
          <w:rFonts w:ascii="Times New Roman" w:hAnsi="Times New Roman" w:cs="Times New Roman"/>
          <w:b/>
          <w:bCs/>
          <w:sz w:val="24"/>
          <w:szCs w:val="24"/>
          <w:lang w:val="ro-RO"/>
        </w:rPr>
        <w:t xml:space="preserve">27.280 </w:t>
      </w:r>
      <w:r w:rsidRPr="007F580C">
        <w:rPr>
          <w:rFonts w:ascii="Times New Roman" w:hAnsi="Times New Roman" w:cs="Times New Roman"/>
          <w:bCs/>
          <w:sz w:val="24"/>
          <w:szCs w:val="24"/>
          <w:lang w:val="ro-RO"/>
        </w:rPr>
        <w:t xml:space="preserve">cauze, din care </w:t>
      </w:r>
      <w:r w:rsidRPr="007F580C">
        <w:rPr>
          <w:rFonts w:ascii="Times New Roman" w:hAnsi="Times New Roman" w:cs="Times New Roman"/>
          <w:b/>
          <w:bCs/>
          <w:sz w:val="24"/>
          <w:szCs w:val="24"/>
          <w:lang w:val="ro-RO"/>
        </w:rPr>
        <w:t xml:space="preserve">12.858 </w:t>
      </w:r>
      <w:r w:rsidRPr="007F580C">
        <w:rPr>
          <w:rFonts w:ascii="Times New Roman" w:hAnsi="Times New Roman" w:cs="Times New Roman"/>
          <w:bCs/>
          <w:sz w:val="24"/>
          <w:szCs w:val="24"/>
          <w:lang w:val="ro-RO"/>
        </w:rPr>
        <w:t>nou</w:t>
      </w:r>
      <w:r w:rsidR="00561E14">
        <w:rPr>
          <w:rFonts w:ascii="Times New Roman" w:hAnsi="Times New Roman" w:cs="Times New Roman"/>
          <w:bCs/>
          <w:sz w:val="24"/>
          <w:szCs w:val="24"/>
          <w:lang w:val="ro-RO"/>
        </w:rPr>
        <w:t>-</w:t>
      </w:r>
      <w:r w:rsidRPr="007F580C">
        <w:rPr>
          <w:rFonts w:ascii="Times New Roman" w:hAnsi="Times New Roman" w:cs="Times New Roman"/>
          <w:bCs/>
          <w:sz w:val="24"/>
          <w:szCs w:val="24"/>
          <w:lang w:val="ro-RO"/>
        </w:rPr>
        <w:t xml:space="preserve">înregistrate, față de </w:t>
      </w:r>
      <w:r w:rsidRPr="007F580C">
        <w:rPr>
          <w:rFonts w:ascii="Times New Roman" w:hAnsi="Times New Roman" w:cs="Times New Roman"/>
          <w:b/>
          <w:bCs/>
          <w:sz w:val="24"/>
          <w:szCs w:val="24"/>
          <w:lang w:val="ro-RO"/>
        </w:rPr>
        <w:t xml:space="preserve">24.709 </w:t>
      </w:r>
      <w:r w:rsidRPr="007F580C">
        <w:rPr>
          <w:rFonts w:ascii="Times New Roman" w:hAnsi="Times New Roman" w:cs="Times New Roman"/>
          <w:bCs/>
          <w:sz w:val="24"/>
          <w:szCs w:val="24"/>
          <w:lang w:val="ro-RO"/>
        </w:rPr>
        <w:t xml:space="preserve">cauze în 2017, din care </w:t>
      </w:r>
      <w:r w:rsidRPr="007F580C">
        <w:rPr>
          <w:rFonts w:ascii="Times New Roman" w:hAnsi="Times New Roman" w:cs="Times New Roman"/>
          <w:b/>
          <w:bCs/>
          <w:sz w:val="24"/>
          <w:szCs w:val="24"/>
          <w:lang w:val="ro-RO"/>
        </w:rPr>
        <w:t xml:space="preserve">12.220 </w:t>
      </w:r>
      <w:r w:rsidRPr="007F580C">
        <w:rPr>
          <w:rFonts w:ascii="Times New Roman" w:hAnsi="Times New Roman" w:cs="Times New Roman"/>
          <w:bCs/>
          <w:sz w:val="24"/>
          <w:szCs w:val="24"/>
          <w:lang w:val="ro-RO"/>
        </w:rPr>
        <w:t>nou</w:t>
      </w:r>
      <w:r w:rsidR="00561E14">
        <w:rPr>
          <w:rFonts w:ascii="Times New Roman" w:hAnsi="Times New Roman" w:cs="Times New Roman"/>
          <w:bCs/>
          <w:sz w:val="24"/>
          <w:szCs w:val="24"/>
          <w:lang w:val="ro-RO"/>
        </w:rPr>
        <w:t>-</w:t>
      </w:r>
      <w:r w:rsidRPr="007F580C">
        <w:rPr>
          <w:rFonts w:ascii="Times New Roman" w:hAnsi="Times New Roman" w:cs="Times New Roman"/>
          <w:bCs/>
          <w:sz w:val="24"/>
          <w:szCs w:val="24"/>
          <w:lang w:val="ro-RO"/>
        </w:rPr>
        <w:t xml:space="preserve">înregistrate. Media dosarelor de soluționat pe procuror a crescut de la 102,52 la 137,78 cauze/procuror. </w:t>
      </w:r>
    </w:p>
    <w:p w:rsidR="008D2B02" w:rsidRPr="007F580C" w:rsidRDefault="008D2B02" w:rsidP="00561E14">
      <w:pPr>
        <w:spacing w:after="0" w:line="360" w:lineRule="auto"/>
        <w:ind w:firstLine="1440"/>
        <w:jc w:val="both"/>
        <w:rPr>
          <w:rFonts w:ascii="Times New Roman" w:hAnsi="Times New Roman" w:cs="Times New Roman"/>
          <w:bCs/>
          <w:sz w:val="24"/>
          <w:szCs w:val="24"/>
          <w:lang w:val="ro-RO"/>
        </w:rPr>
      </w:pPr>
      <w:r w:rsidRPr="007F580C">
        <w:rPr>
          <w:rFonts w:ascii="Times New Roman" w:hAnsi="Times New Roman" w:cs="Times New Roman"/>
          <w:bCs/>
          <w:sz w:val="24"/>
          <w:szCs w:val="24"/>
          <w:lang w:val="ro-RO"/>
        </w:rPr>
        <w:t xml:space="preserve">În aceeași perioadă au fost soluționate </w:t>
      </w:r>
      <w:r w:rsidRPr="007F580C">
        <w:rPr>
          <w:rFonts w:ascii="Times New Roman" w:hAnsi="Times New Roman" w:cs="Times New Roman"/>
          <w:b/>
          <w:bCs/>
          <w:sz w:val="24"/>
          <w:szCs w:val="24"/>
          <w:lang w:val="ro-RO"/>
        </w:rPr>
        <w:t xml:space="preserve">12.393 </w:t>
      </w:r>
      <w:r w:rsidRPr="007F580C">
        <w:rPr>
          <w:rFonts w:ascii="Times New Roman" w:hAnsi="Times New Roman" w:cs="Times New Roman"/>
          <w:bCs/>
          <w:sz w:val="24"/>
          <w:szCs w:val="24"/>
          <w:lang w:val="ro-RO"/>
        </w:rPr>
        <w:t xml:space="preserve">cauze, față de </w:t>
      </w:r>
      <w:r w:rsidRPr="007F580C">
        <w:rPr>
          <w:rFonts w:ascii="Times New Roman" w:hAnsi="Times New Roman" w:cs="Times New Roman"/>
          <w:b/>
          <w:bCs/>
          <w:sz w:val="24"/>
          <w:szCs w:val="24"/>
          <w:lang w:val="ro-RO"/>
        </w:rPr>
        <w:t xml:space="preserve">10.287 </w:t>
      </w:r>
      <w:r w:rsidRPr="007F580C">
        <w:rPr>
          <w:rFonts w:ascii="Times New Roman" w:hAnsi="Times New Roman" w:cs="Times New Roman"/>
          <w:bCs/>
          <w:sz w:val="24"/>
          <w:szCs w:val="24"/>
          <w:lang w:val="ro-RO"/>
        </w:rPr>
        <w:t>în anul 2017</w:t>
      </w:r>
      <w:r w:rsidRPr="007F580C">
        <w:rPr>
          <w:rFonts w:ascii="Times New Roman" w:hAnsi="Times New Roman" w:cs="Times New Roman"/>
          <w:b/>
          <w:bCs/>
          <w:sz w:val="24"/>
          <w:szCs w:val="24"/>
          <w:lang w:val="ro-RO"/>
        </w:rPr>
        <w:t xml:space="preserve">. </w:t>
      </w:r>
      <w:r w:rsidRPr="007F580C">
        <w:rPr>
          <w:rFonts w:ascii="Times New Roman" w:hAnsi="Times New Roman" w:cs="Times New Roman"/>
          <w:bCs/>
          <w:sz w:val="24"/>
          <w:szCs w:val="24"/>
          <w:lang w:val="ro-RO"/>
        </w:rPr>
        <w:t xml:space="preserve">Dintre acestea, în </w:t>
      </w:r>
      <w:r w:rsidRPr="007F580C">
        <w:rPr>
          <w:rFonts w:ascii="Times New Roman" w:hAnsi="Times New Roman" w:cs="Times New Roman"/>
          <w:b/>
          <w:bCs/>
          <w:sz w:val="24"/>
          <w:szCs w:val="24"/>
          <w:lang w:val="ro-RO"/>
        </w:rPr>
        <w:t xml:space="preserve">9.144 </w:t>
      </w:r>
      <w:r w:rsidRPr="007F580C">
        <w:rPr>
          <w:rFonts w:ascii="Times New Roman" w:hAnsi="Times New Roman" w:cs="Times New Roman"/>
          <w:bCs/>
          <w:sz w:val="24"/>
          <w:szCs w:val="24"/>
          <w:lang w:val="ro-RO"/>
        </w:rPr>
        <w:t xml:space="preserve">cauze au fost adoptate soluții pe fond, față de </w:t>
      </w:r>
      <w:r w:rsidRPr="007F580C">
        <w:rPr>
          <w:rFonts w:ascii="Times New Roman" w:hAnsi="Times New Roman" w:cs="Times New Roman"/>
          <w:b/>
          <w:bCs/>
          <w:sz w:val="24"/>
          <w:szCs w:val="24"/>
          <w:lang w:val="ro-RO"/>
        </w:rPr>
        <w:t xml:space="preserve">7.191 </w:t>
      </w:r>
      <w:r w:rsidRPr="007F580C">
        <w:rPr>
          <w:rFonts w:ascii="Times New Roman" w:hAnsi="Times New Roman" w:cs="Times New Roman"/>
          <w:bCs/>
          <w:sz w:val="24"/>
          <w:szCs w:val="24"/>
          <w:lang w:val="ro-RO"/>
        </w:rPr>
        <w:t xml:space="preserve">cauze în anul 2017, iar </w:t>
      </w:r>
      <w:r w:rsidRPr="007F580C">
        <w:rPr>
          <w:rFonts w:ascii="Times New Roman" w:hAnsi="Times New Roman" w:cs="Times New Roman"/>
          <w:b/>
          <w:bCs/>
          <w:sz w:val="24"/>
          <w:szCs w:val="24"/>
          <w:lang w:val="ro-RO"/>
        </w:rPr>
        <w:t xml:space="preserve">3.249 </w:t>
      </w:r>
      <w:r w:rsidRPr="007F580C">
        <w:rPr>
          <w:rFonts w:ascii="Times New Roman" w:hAnsi="Times New Roman" w:cs="Times New Roman"/>
          <w:bCs/>
          <w:sz w:val="24"/>
          <w:szCs w:val="24"/>
          <w:lang w:val="ro-RO"/>
        </w:rPr>
        <w:t xml:space="preserve">cauze au fost declinate sau reunite. </w:t>
      </w:r>
    </w:p>
    <w:p w:rsidR="008D2B02" w:rsidRPr="007F580C" w:rsidRDefault="008D2B02" w:rsidP="00561E14">
      <w:pPr>
        <w:spacing w:after="0" w:line="360" w:lineRule="auto"/>
        <w:ind w:firstLine="1440"/>
        <w:jc w:val="both"/>
        <w:rPr>
          <w:rFonts w:ascii="Times New Roman" w:hAnsi="Times New Roman" w:cs="Times New Roman"/>
          <w:bCs/>
          <w:sz w:val="24"/>
          <w:szCs w:val="24"/>
          <w:lang w:val="ro-RO"/>
        </w:rPr>
      </w:pPr>
      <w:r w:rsidRPr="007F580C">
        <w:rPr>
          <w:rFonts w:ascii="Times New Roman" w:hAnsi="Times New Roman" w:cs="Times New Roman"/>
          <w:bCs/>
          <w:sz w:val="24"/>
          <w:szCs w:val="24"/>
          <w:lang w:val="ro-RO"/>
        </w:rPr>
        <w:t xml:space="preserve">Media dosarelor soluționate de un procuror a crescut comparativ cu anul 2017, de la 42,68 la 62,59 cauze. </w:t>
      </w:r>
    </w:p>
    <w:p w:rsidR="008D2B02" w:rsidRPr="007F580C" w:rsidRDefault="008D2B02" w:rsidP="00561E14">
      <w:pPr>
        <w:spacing w:after="0" w:line="360" w:lineRule="auto"/>
        <w:ind w:firstLine="1440"/>
        <w:jc w:val="both"/>
        <w:rPr>
          <w:rFonts w:ascii="Times New Roman" w:hAnsi="Times New Roman" w:cs="Times New Roman"/>
          <w:bCs/>
          <w:sz w:val="24"/>
          <w:szCs w:val="24"/>
          <w:lang w:val="ro-RO"/>
        </w:rPr>
      </w:pPr>
      <w:r w:rsidRPr="007F580C">
        <w:rPr>
          <w:rFonts w:ascii="Times New Roman" w:hAnsi="Times New Roman" w:cs="Times New Roman"/>
          <w:bCs/>
          <w:sz w:val="24"/>
          <w:szCs w:val="24"/>
          <w:lang w:val="ro-RO"/>
        </w:rPr>
        <w:t xml:space="preserve">În anul </w:t>
      </w:r>
      <w:r w:rsidRPr="007F580C">
        <w:rPr>
          <w:rFonts w:ascii="Times New Roman" w:hAnsi="Times New Roman" w:cs="Times New Roman"/>
          <w:b/>
          <w:bCs/>
          <w:sz w:val="24"/>
          <w:szCs w:val="24"/>
          <w:lang w:val="ro-RO"/>
        </w:rPr>
        <w:t>2018</w:t>
      </w:r>
      <w:r w:rsidRPr="007F580C">
        <w:rPr>
          <w:rFonts w:ascii="Times New Roman" w:hAnsi="Times New Roman" w:cs="Times New Roman"/>
          <w:bCs/>
          <w:sz w:val="24"/>
          <w:szCs w:val="24"/>
          <w:lang w:val="ro-RO"/>
        </w:rPr>
        <w:t xml:space="preserve">, în cauzele instrumentate de procurori au fost cercetate </w:t>
      </w:r>
      <w:r w:rsidRPr="007F580C">
        <w:rPr>
          <w:rFonts w:ascii="Times New Roman" w:hAnsi="Times New Roman" w:cs="Times New Roman"/>
          <w:b/>
          <w:bCs/>
          <w:sz w:val="24"/>
          <w:szCs w:val="24"/>
          <w:lang w:val="ro-RO"/>
        </w:rPr>
        <w:t xml:space="preserve">15.829 </w:t>
      </w:r>
      <w:r w:rsidRPr="007F580C">
        <w:rPr>
          <w:rFonts w:ascii="Times New Roman" w:hAnsi="Times New Roman" w:cs="Times New Roman"/>
          <w:bCs/>
          <w:sz w:val="24"/>
          <w:szCs w:val="24"/>
          <w:lang w:val="ro-RO"/>
        </w:rPr>
        <w:t xml:space="preserve">persoane, în creștere comparativ cu anul precedent când au fost cercetate </w:t>
      </w:r>
      <w:r w:rsidRPr="007F580C">
        <w:rPr>
          <w:rFonts w:ascii="Times New Roman" w:hAnsi="Times New Roman" w:cs="Times New Roman"/>
          <w:b/>
          <w:bCs/>
          <w:sz w:val="24"/>
          <w:szCs w:val="24"/>
          <w:lang w:val="ro-RO"/>
        </w:rPr>
        <w:t xml:space="preserve">13.600 </w:t>
      </w:r>
      <w:r w:rsidRPr="007F580C">
        <w:rPr>
          <w:rFonts w:ascii="Times New Roman" w:hAnsi="Times New Roman" w:cs="Times New Roman"/>
          <w:bCs/>
          <w:sz w:val="24"/>
          <w:szCs w:val="24"/>
          <w:lang w:val="ro-RO"/>
        </w:rPr>
        <w:t xml:space="preserve">persoane. </w:t>
      </w:r>
    </w:p>
    <w:p w:rsidR="008D2B02" w:rsidRPr="007F580C" w:rsidRDefault="008D2B02" w:rsidP="00561E14">
      <w:pPr>
        <w:spacing w:after="0" w:line="360" w:lineRule="auto"/>
        <w:ind w:firstLine="1440"/>
        <w:jc w:val="both"/>
        <w:rPr>
          <w:rFonts w:ascii="Times New Roman" w:hAnsi="Times New Roman" w:cs="Times New Roman"/>
          <w:bCs/>
          <w:sz w:val="24"/>
          <w:szCs w:val="24"/>
          <w:lang w:val="ro-RO"/>
        </w:rPr>
      </w:pPr>
      <w:r w:rsidRPr="007F580C">
        <w:rPr>
          <w:rFonts w:ascii="Times New Roman" w:hAnsi="Times New Roman" w:cs="Times New Roman"/>
          <w:bCs/>
          <w:sz w:val="24"/>
          <w:szCs w:val="24"/>
          <w:lang w:val="ro-RO"/>
        </w:rPr>
        <w:t xml:space="preserve">Media dosarelor soluționate de un procuror </w:t>
      </w:r>
      <w:r w:rsidR="00561E14">
        <w:rPr>
          <w:rFonts w:ascii="Times New Roman" w:hAnsi="Times New Roman" w:cs="Times New Roman"/>
          <w:bCs/>
          <w:sz w:val="24"/>
          <w:szCs w:val="24"/>
          <w:lang w:val="ro-RO"/>
        </w:rPr>
        <w:t>prin</w:t>
      </w:r>
      <w:r w:rsidRPr="007F580C">
        <w:rPr>
          <w:rFonts w:ascii="Times New Roman" w:hAnsi="Times New Roman" w:cs="Times New Roman"/>
          <w:bCs/>
          <w:sz w:val="24"/>
          <w:szCs w:val="24"/>
          <w:lang w:val="ro-RO"/>
        </w:rPr>
        <w:t xml:space="preserve"> rechizitoriu sau acord de recunoaștere a vinovăției a crescut de la 6,36 la 8,01 cauze/procuror în 2018. </w:t>
      </w:r>
    </w:p>
    <w:p w:rsidR="008D2B02" w:rsidRPr="007F580C" w:rsidRDefault="008D2B02" w:rsidP="00561E14">
      <w:pPr>
        <w:spacing w:after="0" w:line="360" w:lineRule="auto"/>
        <w:ind w:firstLine="1440"/>
        <w:jc w:val="both"/>
        <w:rPr>
          <w:rFonts w:ascii="Times New Roman" w:hAnsi="Times New Roman" w:cs="Times New Roman"/>
          <w:bCs/>
          <w:sz w:val="24"/>
          <w:szCs w:val="24"/>
          <w:lang w:val="ro-RO"/>
        </w:rPr>
      </w:pPr>
      <w:r w:rsidRPr="007F580C">
        <w:rPr>
          <w:rFonts w:ascii="Times New Roman" w:hAnsi="Times New Roman" w:cs="Times New Roman"/>
          <w:bCs/>
          <w:sz w:val="24"/>
          <w:szCs w:val="24"/>
          <w:lang w:val="ro-RO"/>
        </w:rPr>
        <w:t>Din totalul cauzelor soluționate pe fond în anul 2018 (9.144 cauze), 2.072 au fost soluționate până în șase luni de la sesizare, 2.874 între șase luni și un an de la sesizare, 4.155 peste un an de la sesizare, iar 43 cauze după împlinirea termenului de prescripție a răspunderii penale, acest din urmă indicat</w:t>
      </w:r>
      <w:r w:rsidRPr="007F580C">
        <w:rPr>
          <w:sz w:val="28"/>
          <w:szCs w:val="28"/>
          <w:lang w:val="ro-RO"/>
        </w:rPr>
        <w:t xml:space="preserve"> </w:t>
      </w:r>
      <w:r w:rsidRPr="007F580C">
        <w:rPr>
          <w:rFonts w:ascii="Times New Roman" w:hAnsi="Times New Roman" w:cs="Times New Roman"/>
          <w:bCs/>
          <w:sz w:val="24"/>
          <w:szCs w:val="24"/>
          <w:lang w:val="ro-RO"/>
        </w:rPr>
        <w:t>în scădere cu 53,84%</w:t>
      </w:r>
      <w:r w:rsidR="00561E14">
        <w:rPr>
          <w:rFonts w:ascii="Times New Roman" w:hAnsi="Times New Roman" w:cs="Times New Roman"/>
          <w:bCs/>
          <w:sz w:val="24"/>
          <w:szCs w:val="24"/>
          <w:lang w:val="ro-RO"/>
        </w:rPr>
        <w:t xml:space="preserve">, </w:t>
      </w:r>
      <w:r w:rsidRPr="007F580C">
        <w:rPr>
          <w:rFonts w:ascii="Times New Roman" w:hAnsi="Times New Roman" w:cs="Times New Roman"/>
          <w:bCs/>
          <w:sz w:val="24"/>
          <w:szCs w:val="24"/>
          <w:lang w:val="ro-RO"/>
        </w:rPr>
        <w:t>având în vedere că 37 dosare priveau autori necunoscuţi.</w:t>
      </w:r>
    </w:p>
    <w:p w:rsidR="008D2B02" w:rsidRPr="007F580C" w:rsidRDefault="008D2B02" w:rsidP="00561E14">
      <w:pPr>
        <w:spacing w:after="0" w:line="360" w:lineRule="auto"/>
        <w:ind w:firstLine="1440"/>
        <w:jc w:val="both"/>
        <w:rPr>
          <w:rFonts w:ascii="Times New Roman" w:hAnsi="Times New Roman" w:cs="Times New Roman"/>
          <w:bCs/>
          <w:sz w:val="24"/>
          <w:szCs w:val="24"/>
          <w:lang w:val="ro-RO"/>
        </w:rPr>
      </w:pPr>
      <w:r w:rsidRPr="00561E14">
        <w:rPr>
          <w:rFonts w:ascii="Times New Roman" w:hAnsi="Times New Roman" w:cs="Times New Roman"/>
          <w:b/>
          <w:bCs/>
          <w:sz w:val="24"/>
          <w:szCs w:val="24"/>
          <w:lang w:val="ro-RO"/>
        </w:rPr>
        <w:t>În</w:t>
      </w:r>
      <w:r w:rsidRPr="007F580C">
        <w:rPr>
          <w:rFonts w:ascii="Times New Roman" w:hAnsi="Times New Roman" w:cs="Times New Roman"/>
          <w:bCs/>
          <w:sz w:val="24"/>
          <w:szCs w:val="24"/>
          <w:lang w:val="ro-RO"/>
        </w:rPr>
        <w:t xml:space="preserve"> </w:t>
      </w:r>
      <w:r w:rsidRPr="007F580C">
        <w:rPr>
          <w:rFonts w:ascii="Times New Roman" w:hAnsi="Times New Roman" w:cs="Times New Roman"/>
          <w:b/>
          <w:bCs/>
          <w:sz w:val="24"/>
          <w:szCs w:val="24"/>
          <w:lang w:val="ro-RO"/>
        </w:rPr>
        <w:t>anul 2018 au fost soluționate 9.144 cauze pe fond</w:t>
      </w:r>
      <w:r w:rsidRPr="007F580C">
        <w:rPr>
          <w:rFonts w:ascii="Times New Roman" w:hAnsi="Times New Roman" w:cs="Times New Roman"/>
          <w:bCs/>
          <w:sz w:val="24"/>
          <w:szCs w:val="24"/>
          <w:lang w:val="ro-RO"/>
        </w:rPr>
        <w:t xml:space="preserve">, faţă de 7.191 în anul 2017, </w:t>
      </w:r>
      <w:r w:rsidRPr="007F580C">
        <w:rPr>
          <w:rFonts w:ascii="Times New Roman" w:hAnsi="Times New Roman" w:cs="Times New Roman"/>
          <w:b/>
          <w:bCs/>
          <w:sz w:val="24"/>
          <w:szCs w:val="24"/>
          <w:lang w:val="ro-RO"/>
        </w:rPr>
        <w:t>fiind trimiși în judecată 3.526 inculpați</w:t>
      </w:r>
      <w:r w:rsidRPr="007F580C">
        <w:rPr>
          <w:rFonts w:ascii="Times New Roman" w:hAnsi="Times New Roman" w:cs="Times New Roman"/>
          <w:bCs/>
          <w:sz w:val="24"/>
          <w:szCs w:val="24"/>
          <w:lang w:val="ro-RO"/>
        </w:rPr>
        <w:t xml:space="preserve">, faţă de 3.940 în anul 2017, dintre care </w:t>
      </w:r>
      <w:r w:rsidRPr="007F580C">
        <w:rPr>
          <w:rFonts w:ascii="Times New Roman" w:hAnsi="Times New Roman" w:cs="Times New Roman"/>
          <w:b/>
          <w:bCs/>
          <w:sz w:val="24"/>
          <w:szCs w:val="24"/>
          <w:lang w:val="ro-RO"/>
        </w:rPr>
        <w:t>1.267 arestați preventiv</w:t>
      </w:r>
      <w:r w:rsidRPr="007F580C">
        <w:rPr>
          <w:rFonts w:ascii="Times New Roman" w:hAnsi="Times New Roman" w:cs="Times New Roman"/>
          <w:bCs/>
          <w:sz w:val="24"/>
          <w:szCs w:val="24"/>
          <w:lang w:val="ro-RO"/>
        </w:rPr>
        <w:t xml:space="preserve">, față de 1.275 în anul 2017. </w:t>
      </w:r>
    </w:p>
    <w:p w:rsidR="008D2B02" w:rsidRPr="007F580C" w:rsidRDefault="008D2B02" w:rsidP="00561E14">
      <w:pPr>
        <w:spacing w:after="0" w:line="360" w:lineRule="auto"/>
        <w:ind w:firstLine="1440"/>
        <w:jc w:val="both"/>
        <w:rPr>
          <w:rFonts w:ascii="Times New Roman" w:hAnsi="Times New Roman" w:cs="Times New Roman"/>
          <w:bCs/>
          <w:sz w:val="24"/>
          <w:szCs w:val="24"/>
          <w:lang w:val="ro-RO"/>
        </w:rPr>
      </w:pPr>
      <w:r w:rsidRPr="007F580C">
        <w:rPr>
          <w:rFonts w:ascii="Times New Roman" w:hAnsi="Times New Roman" w:cs="Times New Roman"/>
          <w:bCs/>
          <w:sz w:val="24"/>
          <w:szCs w:val="24"/>
          <w:lang w:val="ro-RO"/>
        </w:rPr>
        <w:t xml:space="preserve">În perioada de referință, în </w:t>
      </w:r>
      <w:r w:rsidRPr="007F580C">
        <w:rPr>
          <w:rFonts w:ascii="Times New Roman" w:hAnsi="Times New Roman" w:cs="Times New Roman"/>
          <w:b/>
          <w:bCs/>
          <w:sz w:val="24"/>
          <w:szCs w:val="24"/>
          <w:lang w:val="ro-RO"/>
        </w:rPr>
        <w:t>1.439 cauze soluționate de instanțele de judecată</w:t>
      </w:r>
      <w:r w:rsidRPr="007F580C">
        <w:rPr>
          <w:rFonts w:ascii="Times New Roman" w:hAnsi="Times New Roman" w:cs="Times New Roman"/>
          <w:bCs/>
          <w:sz w:val="24"/>
          <w:szCs w:val="24"/>
          <w:lang w:val="ro-RO"/>
        </w:rPr>
        <w:t xml:space="preserve">, </w:t>
      </w:r>
      <w:r w:rsidRPr="007F580C">
        <w:rPr>
          <w:rFonts w:ascii="Times New Roman" w:hAnsi="Times New Roman" w:cs="Times New Roman"/>
          <w:b/>
          <w:bCs/>
          <w:sz w:val="24"/>
          <w:szCs w:val="24"/>
          <w:lang w:val="ro-RO"/>
        </w:rPr>
        <w:t>au fost condamnați definitiv 3.049 inculpați</w:t>
      </w:r>
      <w:r w:rsidRPr="007F580C">
        <w:rPr>
          <w:rFonts w:ascii="Times New Roman" w:hAnsi="Times New Roman" w:cs="Times New Roman"/>
          <w:bCs/>
          <w:sz w:val="24"/>
          <w:szCs w:val="24"/>
          <w:lang w:val="ro-RO"/>
        </w:rPr>
        <w:t>, comparativ cu 2017 când au fost soluționate 1.492 cauze, fiind condamnați definitiv 3.210 inculpați.</w:t>
      </w:r>
      <w:r w:rsidRPr="007F580C">
        <w:rPr>
          <w:sz w:val="28"/>
          <w:szCs w:val="28"/>
          <w:lang w:val="ro-RO"/>
        </w:rPr>
        <w:t xml:space="preserve"> </w:t>
      </w:r>
      <w:r w:rsidRPr="007F580C">
        <w:rPr>
          <w:rFonts w:ascii="Times New Roman" w:hAnsi="Times New Roman" w:cs="Times New Roman"/>
          <w:bCs/>
          <w:sz w:val="24"/>
          <w:szCs w:val="24"/>
          <w:lang w:val="ro-RO"/>
        </w:rPr>
        <w:t xml:space="preserve">În anul 2018, în </w:t>
      </w:r>
      <w:r w:rsidRPr="007F580C">
        <w:rPr>
          <w:rFonts w:ascii="Times New Roman" w:hAnsi="Times New Roman" w:cs="Times New Roman"/>
          <w:b/>
          <w:bCs/>
          <w:sz w:val="24"/>
          <w:szCs w:val="24"/>
          <w:lang w:val="ro-RO"/>
        </w:rPr>
        <w:t>65 de cauze au fost achitați definitiv 115 inculpați</w:t>
      </w:r>
      <w:r w:rsidRPr="007F580C">
        <w:rPr>
          <w:rFonts w:ascii="Times New Roman" w:hAnsi="Times New Roman" w:cs="Times New Roman"/>
          <w:bCs/>
          <w:sz w:val="24"/>
          <w:szCs w:val="24"/>
          <w:lang w:val="ro-RO"/>
        </w:rPr>
        <w:t xml:space="preserve">, față de 41 de cauze în care au fost achitați definitiv 76 inculpați în anul 2017. </w:t>
      </w:r>
    </w:p>
    <w:p w:rsidR="008D2B02" w:rsidRDefault="008D2B02" w:rsidP="008D2B02">
      <w:pPr>
        <w:spacing w:line="360" w:lineRule="auto"/>
        <w:ind w:firstLine="1440"/>
        <w:jc w:val="both"/>
        <w:rPr>
          <w:rFonts w:ascii="Times New Roman" w:hAnsi="Times New Roman" w:cs="Times New Roman"/>
          <w:bCs/>
          <w:sz w:val="24"/>
          <w:szCs w:val="24"/>
          <w:lang w:val="ro-RO"/>
        </w:rPr>
      </w:pPr>
      <w:r w:rsidRPr="007F580C">
        <w:rPr>
          <w:rFonts w:ascii="Times New Roman" w:hAnsi="Times New Roman" w:cs="Times New Roman"/>
          <w:bCs/>
          <w:sz w:val="24"/>
          <w:szCs w:val="24"/>
          <w:lang w:val="ro-RO"/>
        </w:rPr>
        <w:t xml:space="preserve">Raportat la cei </w:t>
      </w:r>
      <w:r w:rsidRPr="007F580C">
        <w:rPr>
          <w:rFonts w:ascii="Times New Roman" w:hAnsi="Times New Roman" w:cs="Times New Roman"/>
          <w:b/>
          <w:bCs/>
          <w:sz w:val="24"/>
          <w:szCs w:val="24"/>
          <w:lang w:val="ro-RO"/>
        </w:rPr>
        <w:t xml:space="preserve">3.526 </w:t>
      </w:r>
      <w:r w:rsidRPr="007F580C">
        <w:rPr>
          <w:rFonts w:ascii="Times New Roman" w:hAnsi="Times New Roman" w:cs="Times New Roman"/>
          <w:bCs/>
          <w:sz w:val="24"/>
          <w:szCs w:val="24"/>
          <w:lang w:val="ro-RO"/>
        </w:rPr>
        <w:t xml:space="preserve">inculpați trimiși în judecată, </w:t>
      </w:r>
      <w:r w:rsidRPr="007F580C">
        <w:rPr>
          <w:rFonts w:ascii="Times New Roman" w:hAnsi="Times New Roman" w:cs="Times New Roman"/>
          <w:b/>
          <w:bCs/>
          <w:sz w:val="24"/>
          <w:szCs w:val="24"/>
          <w:lang w:val="ro-RO"/>
        </w:rPr>
        <w:t xml:space="preserve">ponderea inculpaților achitați în baza temeiurilor care examinează fondul cauzei este de 3,26% din </w:t>
      </w:r>
      <w:r w:rsidRPr="007F580C">
        <w:rPr>
          <w:rFonts w:ascii="Times New Roman" w:hAnsi="Times New Roman" w:cs="Times New Roman"/>
          <w:bCs/>
          <w:sz w:val="24"/>
          <w:szCs w:val="24"/>
          <w:lang w:val="ro-RO"/>
        </w:rPr>
        <w:t>totalul inculpaților trimiși în judecată (115 din 3.526).</w:t>
      </w:r>
    </w:p>
    <w:p w:rsidR="00A70C96" w:rsidRDefault="00A70C96" w:rsidP="00561E14">
      <w:pPr>
        <w:spacing w:after="0" w:line="360" w:lineRule="auto"/>
        <w:ind w:firstLine="1440"/>
        <w:jc w:val="both"/>
        <w:rPr>
          <w:rFonts w:ascii="Times New Roman" w:hAnsi="Times New Roman" w:cs="Times New Roman"/>
          <w:b/>
          <w:bCs/>
          <w:sz w:val="24"/>
          <w:szCs w:val="24"/>
          <w:u w:val="single"/>
          <w:lang w:val="ro-RO"/>
        </w:rPr>
      </w:pPr>
    </w:p>
    <w:p w:rsidR="00561E14" w:rsidRDefault="008D2B02" w:rsidP="00561E14">
      <w:pPr>
        <w:spacing w:after="0" w:line="360" w:lineRule="auto"/>
        <w:ind w:firstLine="1440"/>
        <w:jc w:val="both"/>
        <w:rPr>
          <w:rFonts w:ascii="Times New Roman" w:hAnsi="Times New Roman" w:cs="Times New Roman"/>
          <w:b/>
          <w:bCs/>
          <w:sz w:val="24"/>
          <w:szCs w:val="24"/>
          <w:u w:val="single"/>
          <w:lang w:val="ro-RO"/>
        </w:rPr>
      </w:pPr>
      <w:r w:rsidRPr="007F580C">
        <w:rPr>
          <w:rFonts w:ascii="Times New Roman" w:hAnsi="Times New Roman" w:cs="Times New Roman"/>
          <w:b/>
          <w:bCs/>
          <w:sz w:val="24"/>
          <w:szCs w:val="24"/>
          <w:u w:val="single"/>
          <w:lang w:val="ro-RO"/>
        </w:rPr>
        <w:t xml:space="preserve"> Secția pentru investigarea infracțiunilor din justiție </w:t>
      </w:r>
    </w:p>
    <w:p w:rsidR="008D2B02" w:rsidRPr="007F580C" w:rsidRDefault="008D2B02" w:rsidP="00561E14">
      <w:pPr>
        <w:spacing w:after="0" w:line="360" w:lineRule="auto"/>
        <w:ind w:firstLine="1440"/>
        <w:jc w:val="both"/>
        <w:rPr>
          <w:rFonts w:ascii="Times New Roman" w:hAnsi="Times New Roman" w:cs="Times New Roman"/>
          <w:bCs/>
          <w:sz w:val="24"/>
          <w:szCs w:val="24"/>
          <w:lang w:val="ro-RO"/>
        </w:rPr>
      </w:pPr>
      <w:r w:rsidRPr="007F580C">
        <w:rPr>
          <w:rFonts w:ascii="Times New Roman" w:hAnsi="Times New Roman" w:cs="Times New Roman"/>
          <w:bCs/>
          <w:sz w:val="24"/>
          <w:szCs w:val="24"/>
          <w:lang w:val="ro-RO"/>
        </w:rPr>
        <w:lastRenderedPageBreak/>
        <w:t xml:space="preserve">Secţia pentru investigarea infracţiunilor din justiţie </w:t>
      </w:r>
      <w:r w:rsidRPr="007F580C">
        <w:rPr>
          <w:rFonts w:ascii="Times New Roman" w:hAnsi="Times New Roman" w:cs="Times New Roman"/>
          <w:b/>
          <w:bCs/>
          <w:sz w:val="24"/>
          <w:szCs w:val="24"/>
          <w:lang w:val="ro-RO"/>
        </w:rPr>
        <w:t xml:space="preserve">a fost înfiinţată prin Legea nr. 207/2018 </w:t>
      </w:r>
      <w:r w:rsidRPr="007F580C">
        <w:rPr>
          <w:rFonts w:ascii="Times New Roman" w:hAnsi="Times New Roman" w:cs="Times New Roman"/>
          <w:bCs/>
          <w:sz w:val="24"/>
          <w:szCs w:val="24"/>
          <w:lang w:val="ro-RO"/>
        </w:rPr>
        <w:t xml:space="preserve">din 20 iulie 2018 pentru modificarea şi completarea Legii nr. 304/2004 privind organizarea judiciară. </w:t>
      </w:r>
    </w:p>
    <w:p w:rsidR="008D2B02" w:rsidRPr="007F580C" w:rsidRDefault="008D2B02" w:rsidP="00561E14">
      <w:pPr>
        <w:spacing w:after="0" w:line="360" w:lineRule="auto"/>
        <w:ind w:firstLine="1440"/>
        <w:jc w:val="both"/>
        <w:rPr>
          <w:rFonts w:ascii="Times New Roman" w:hAnsi="Times New Roman" w:cs="Times New Roman"/>
          <w:bCs/>
          <w:sz w:val="24"/>
          <w:szCs w:val="24"/>
          <w:lang w:val="ro-RO"/>
        </w:rPr>
      </w:pPr>
      <w:r w:rsidRPr="007F580C">
        <w:rPr>
          <w:rFonts w:ascii="Times New Roman" w:hAnsi="Times New Roman" w:cs="Times New Roman"/>
          <w:bCs/>
          <w:sz w:val="24"/>
          <w:szCs w:val="24"/>
          <w:lang w:val="ro-RO"/>
        </w:rPr>
        <w:t xml:space="preserve">Secţia funcționează în cadrul Parchetului de pe lângă Înalta Curte de Casaţie şi Justiţie, având, potrivit legii, </w:t>
      </w:r>
      <w:r w:rsidRPr="007F580C">
        <w:rPr>
          <w:rFonts w:ascii="Times New Roman" w:hAnsi="Times New Roman" w:cs="Times New Roman"/>
          <w:b/>
          <w:bCs/>
          <w:sz w:val="24"/>
          <w:szCs w:val="24"/>
          <w:lang w:val="ro-RO"/>
        </w:rPr>
        <w:t>competenţa exclusivă de a efectua urmărirea penală pentru infracţiunile săvârşite de judecători şi procurori</w:t>
      </w:r>
      <w:r w:rsidRPr="007F580C">
        <w:rPr>
          <w:rFonts w:ascii="Times New Roman" w:hAnsi="Times New Roman" w:cs="Times New Roman"/>
          <w:bCs/>
          <w:sz w:val="24"/>
          <w:szCs w:val="24"/>
          <w:lang w:val="ro-RO"/>
        </w:rPr>
        <w:t xml:space="preserve">, inclusiv judecătorii şi procurorii militari şi cei care au calitatea de membri ai Consiliului Superior al Magistraturii. Competenţa de urmărire penală exclusivă este păstrată şi în situaţia în care, alături de persoanele menţionate, sunt cercetate şi alte persoane. </w:t>
      </w:r>
    </w:p>
    <w:p w:rsidR="00BC34E4" w:rsidRPr="007F2F1D" w:rsidRDefault="008D2B02" w:rsidP="00561E14">
      <w:pPr>
        <w:spacing w:after="0" w:line="360" w:lineRule="auto"/>
        <w:ind w:firstLine="1440"/>
        <w:jc w:val="both"/>
        <w:rPr>
          <w:rFonts w:ascii="Times New Roman" w:hAnsi="Times New Roman" w:cs="Times New Roman"/>
          <w:bCs/>
          <w:sz w:val="24"/>
          <w:szCs w:val="24"/>
          <w:lang w:val="ro-RO"/>
        </w:rPr>
      </w:pPr>
      <w:r w:rsidRPr="007F580C">
        <w:rPr>
          <w:rFonts w:ascii="Times New Roman" w:hAnsi="Times New Roman" w:cs="Times New Roman"/>
          <w:bCs/>
          <w:sz w:val="24"/>
          <w:szCs w:val="24"/>
          <w:lang w:val="ro-RO"/>
        </w:rPr>
        <w:t>La data de 10 octombrie 2018 a fost publicată Ordonanţa de Urgenţă a Guvernului nr. 90/2018, potrivit căreia Secţia funcţionează cu un număr de 15 posturi de procurori.</w:t>
      </w:r>
      <w:r w:rsidRPr="007F580C">
        <w:rPr>
          <w:sz w:val="28"/>
          <w:szCs w:val="28"/>
        </w:rPr>
        <w:t xml:space="preserve"> </w:t>
      </w:r>
      <w:r w:rsidRPr="007F580C">
        <w:rPr>
          <w:rFonts w:ascii="Times New Roman" w:hAnsi="Times New Roman" w:cs="Times New Roman"/>
          <w:bCs/>
          <w:sz w:val="24"/>
          <w:szCs w:val="24"/>
        </w:rPr>
        <w:t>După data operaţionalizării, la Secţia pentru investigarea infracţiunilor din justiţie au fost înregistrate un număr de 1.422 cauze, din care 180 de cauze noi şi 1.242 dosare transmise de unităţile şi structurile de parchet din ţară</w:t>
      </w:r>
      <w:r>
        <w:rPr>
          <w:rFonts w:ascii="Times New Roman" w:hAnsi="Times New Roman" w:cs="Times New Roman"/>
          <w:bCs/>
          <w:sz w:val="24"/>
          <w:szCs w:val="24"/>
        </w:rPr>
        <w:t>.</w:t>
      </w:r>
    </w:p>
    <w:p w:rsidR="00501AEA" w:rsidRDefault="00501AEA" w:rsidP="00561E14">
      <w:pPr>
        <w:spacing w:after="0" w:line="360" w:lineRule="auto"/>
        <w:ind w:firstLine="1440"/>
        <w:jc w:val="both"/>
        <w:rPr>
          <w:rFonts w:ascii="Times New Roman" w:hAnsi="Times New Roman" w:cs="Times New Roman"/>
          <w:b/>
          <w:bCs/>
          <w:sz w:val="24"/>
          <w:szCs w:val="24"/>
          <w:u w:val="single"/>
          <w:lang w:val="ro-RO"/>
        </w:rPr>
      </w:pPr>
    </w:p>
    <w:p w:rsidR="00BC34E4" w:rsidRDefault="00767634" w:rsidP="00561E14">
      <w:pPr>
        <w:spacing w:after="0" w:line="360" w:lineRule="auto"/>
        <w:ind w:firstLine="1440"/>
        <w:jc w:val="both"/>
        <w:rPr>
          <w:rFonts w:ascii="Times New Roman" w:hAnsi="Times New Roman" w:cs="Times New Roman"/>
          <w:b/>
          <w:bCs/>
          <w:sz w:val="24"/>
          <w:szCs w:val="24"/>
          <w:u w:val="single"/>
          <w:lang w:val="ro-RO"/>
        </w:rPr>
      </w:pPr>
      <w:r>
        <w:rPr>
          <w:rFonts w:ascii="Times New Roman" w:hAnsi="Times New Roman" w:cs="Times New Roman"/>
          <w:b/>
          <w:bCs/>
          <w:sz w:val="24"/>
          <w:szCs w:val="24"/>
          <w:u w:val="single"/>
          <w:lang w:val="ro-RO"/>
        </w:rPr>
        <w:t>b</w:t>
      </w:r>
      <w:r w:rsidR="008D2B02">
        <w:rPr>
          <w:rFonts w:ascii="Times New Roman" w:hAnsi="Times New Roman" w:cs="Times New Roman"/>
          <w:b/>
          <w:bCs/>
          <w:sz w:val="24"/>
          <w:szCs w:val="24"/>
          <w:u w:val="single"/>
          <w:lang w:val="ro-RO"/>
        </w:rPr>
        <w:t>. Activitatea judiciară</w:t>
      </w:r>
    </w:p>
    <w:p w:rsidR="008D2B02" w:rsidRPr="008D2B02" w:rsidRDefault="008D2B02" w:rsidP="00561E14">
      <w:pPr>
        <w:spacing w:after="0" w:line="360" w:lineRule="auto"/>
        <w:ind w:firstLine="1440"/>
        <w:jc w:val="both"/>
        <w:rPr>
          <w:rFonts w:ascii="Times New Roman" w:hAnsi="Times New Roman" w:cs="Times New Roman"/>
          <w:bCs/>
          <w:sz w:val="24"/>
          <w:szCs w:val="24"/>
          <w:lang w:val="ro-RO"/>
        </w:rPr>
      </w:pPr>
      <w:r w:rsidRPr="008D2B02">
        <w:rPr>
          <w:rFonts w:ascii="Times New Roman" w:hAnsi="Times New Roman" w:cs="Times New Roman"/>
          <w:bCs/>
          <w:sz w:val="24"/>
          <w:szCs w:val="24"/>
          <w:lang w:val="ro-RO"/>
        </w:rPr>
        <w:t>În anul 2018 situația statistică referitoare la activitatea judiciară a Ministerului Public în cauzele penale este următoarea:</w:t>
      </w:r>
      <w:r w:rsidRPr="008D2B02">
        <w:rPr>
          <w:sz w:val="28"/>
          <w:szCs w:val="28"/>
          <w:lang w:val="ro-RO"/>
        </w:rPr>
        <w:t xml:space="preserve"> </w:t>
      </w:r>
      <w:r w:rsidR="00501AEA">
        <w:rPr>
          <w:rFonts w:ascii="Times New Roman" w:hAnsi="Times New Roman" w:cs="Times New Roman"/>
          <w:bCs/>
          <w:sz w:val="24"/>
          <w:szCs w:val="24"/>
          <w:lang w:val="ro-RO"/>
        </w:rPr>
        <w:t>p</w:t>
      </w:r>
      <w:r w:rsidRPr="008D2B02">
        <w:rPr>
          <w:rFonts w:ascii="Times New Roman" w:hAnsi="Times New Roman" w:cs="Times New Roman"/>
          <w:bCs/>
          <w:sz w:val="24"/>
          <w:szCs w:val="24"/>
          <w:lang w:val="ro-RO"/>
        </w:rPr>
        <w:t>rocurorii au participat la judecarea a 344.408 cauze și au verificat 312.585 hotărâri judecătorești, fiind declarate 10.571 căi de atac, din care 6.771 au fost admise (</w:t>
      </w:r>
      <w:r w:rsidRPr="008D2B02">
        <w:rPr>
          <w:rFonts w:ascii="Times New Roman" w:hAnsi="Times New Roman" w:cs="Times New Roman"/>
          <w:bCs/>
          <w:i/>
          <w:iCs/>
          <w:sz w:val="24"/>
          <w:szCs w:val="24"/>
          <w:lang w:val="ro-RO"/>
        </w:rPr>
        <w:t>Anexele nr. 10 și 11</w:t>
      </w:r>
      <w:r w:rsidRPr="008D2B02">
        <w:rPr>
          <w:rFonts w:ascii="Times New Roman" w:hAnsi="Times New Roman" w:cs="Times New Roman"/>
          <w:bCs/>
          <w:sz w:val="24"/>
          <w:szCs w:val="24"/>
          <w:lang w:val="ro-RO"/>
        </w:rPr>
        <w:t xml:space="preserve">). </w:t>
      </w:r>
    </w:p>
    <w:p w:rsidR="00FC6CC7" w:rsidRDefault="008D2B02" w:rsidP="00FC6CC7">
      <w:pPr>
        <w:spacing w:line="360" w:lineRule="auto"/>
        <w:ind w:firstLine="1440"/>
        <w:jc w:val="both"/>
        <w:rPr>
          <w:sz w:val="28"/>
          <w:szCs w:val="28"/>
          <w:lang w:val="ro-RO"/>
        </w:rPr>
      </w:pPr>
      <w:r w:rsidRPr="008D2B02">
        <w:rPr>
          <w:rFonts w:ascii="Times New Roman" w:hAnsi="Times New Roman" w:cs="Times New Roman"/>
          <w:bCs/>
          <w:sz w:val="24"/>
          <w:szCs w:val="24"/>
          <w:lang w:val="ro-RO"/>
        </w:rPr>
        <w:t xml:space="preserve">În anul 2017, procurorii au participat la judecarea a 341.532 cauze, au verificat 307.396 hotărâri judecătorești și au declarat 11.448 căi de atac, dintre care au fost admise 7.154. Prin urmare, activitatea judiciară a cunoscut o creștere cu 0,84% </w:t>
      </w:r>
      <w:r w:rsidR="00501AEA">
        <w:rPr>
          <w:rFonts w:ascii="Times New Roman" w:hAnsi="Times New Roman" w:cs="Times New Roman"/>
          <w:bCs/>
          <w:sz w:val="24"/>
          <w:szCs w:val="24"/>
          <w:lang w:val="ro-RO"/>
        </w:rPr>
        <w:t xml:space="preserve">la </w:t>
      </w:r>
      <w:r w:rsidRPr="008D2B02">
        <w:rPr>
          <w:rFonts w:ascii="Times New Roman" w:hAnsi="Times New Roman" w:cs="Times New Roman"/>
          <w:bCs/>
          <w:sz w:val="24"/>
          <w:szCs w:val="24"/>
          <w:lang w:val="ro-RO"/>
        </w:rPr>
        <w:t xml:space="preserve">cauze; 1,69% </w:t>
      </w:r>
      <w:r w:rsidR="00501AEA">
        <w:rPr>
          <w:rFonts w:ascii="Times New Roman" w:hAnsi="Times New Roman" w:cs="Times New Roman"/>
          <w:bCs/>
          <w:sz w:val="24"/>
          <w:szCs w:val="24"/>
          <w:lang w:val="ro-RO"/>
        </w:rPr>
        <w:t xml:space="preserve">la </w:t>
      </w:r>
      <w:r w:rsidRPr="008D2B02">
        <w:rPr>
          <w:rFonts w:ascii="Times New Roman" w:hAnsi="Times New Roman" w:cs="Times New Roman"/>
          <w:bCs/>
          <w:sz w:val="24"/>
          <w:szCs w:val="24"/>
          <w:lang w:val="ro-RO"/>
        </w:rPr>
        <w:t>hotărâri verificate, dar a scăzut cu 7,66% numărul căilor de atac declarate și cu 5,35% al celor admise.</w:t>
      </w:r>
      <w:r w:rsidRPr="008D2B02">
        <w:rPr>
          <w:sz w:val="28"/>
          <w:szCs w:val="28"/>
          <w:lang w:val="ro-RO"/>
        </w:rPr>
        <w:t xml:space="preserve"> </w:t>
      </w:r>
    </w:p>
    <w:p w:rsidR="00501AEA" w:rsidRPr="007F2F1D" w:rsidRDefault="00501AEA" w:rsidP="00501AEA">
      <w:pPr>
        <w:spacing w:after="0" w:line="360" w:lineRule="auto"/>
        <w:ind w:firstLine="1440"/>
        <w:jc w:val="both"/>
        <w:rPr>
          <w:rFonts w:ascii="Times New Roman" w:hAnsi="Times New Roman" w:cs="Times New Roman"/>
          <w:bCs/>
          <w:sz w:val="24"/>
          <w:szCs w:val="24"/>
          <w:lang w:val="ro-RO"/>
        </w:rPr>
      </w:pPr>
    </w:p>
    <w:p w:rsidR="002301D8" w:rsidRPr="008D2B02" w:rsidRDefault="002301D8" w:rsidP="00501AEA">
      <w:pPr>
        <w:spacing w:after="0" w:line="360" w:lineRule="auto"/>
        <w:ind w:firstLine="1440"/>
        <w:jc w:val="both"/>
        <w:rPr>
          <w:rFonts w:ascii="Times New Roman" w:hAnsi="Times New Roman" w:cs="Times New Roman"/>
          <w:b/>
          <w:bCs/>
          <w:sz w:val="24"/>
          <w:szCs w:val="24"/>
          <w:u w:val="single"/>
          <w:lang w:val="ro-RO"/>
        </w:rPr>
      </w:pPr>
      <w:r w:rsidRPr="008D2B02">
        <w:rPr>
          <w:rFonts w:ascii="Times New Roman" w:hAnsi="Times New Roman" w:cs="Times New Roman"/>
          <w:b/>
          <w:bCs/>
          <w:sz w:val="24"/>
          <w:szCs w:val="24"/>
          <w:u w:val="single"/>
          <w:lang w:val="ro-RO"/>
        </w:rPr>
        <w:t xml:space="preserve">B. Resurse umane </w:t>
      </w:r>
    </w:p>
    <w:p w:rsidR="002301D8" w:rsidRPr="002301D8" w:rsidRDefault="002301D8" w:rsidP="00501AEA">
      <w:pPr>
        <w:spacing w:after="0" w:line="360" w:lineRule="auto"/>
        <w:ind w:firstLine="1440"/>
        <w:jc w:val="both"/>
        <w:rPr>
          <w:rFonts w:ascii="Times New Roman" w:hAnsi="Times New Roman" w:cs="Times New Roman"/>
          <w:bCs/>
          <w:sz w:val="24"/>
          <w:szCs w:val="24"/>
          <w:lang w:val="ro-RO"/>
        </w:rPr>
      </w:pPr>
      <w:r w:rsidRPr="008D2B02">
        <w:rPr>
          <w:rFonts w:ascii="Times New Roman" w:hAnsi="Times New Roman" w:cs="Times New Roman"/>
          <w:bCs/>
          <w:sz w:val="24"/>
          <w:szCs w:val="24"/>
          <w:lang w:val="ro-RO"/>
        </w:rPr>
        <w:t>Din perspectiva utilizării resurselor umane în cadrul parchet</w:t>
      </w:r>
      <w:r w:rsidRPr="002301D8">
        <w:rPr>
          <w:rFonts w:ascii="Times New Roman" w:hAnsi="Times New Roman" w:cs="Times New Roman"/>
          <w:bCs/>
          <w:sz w:val="24"/>
          <w:szCs w:val="24"/>
          <w:lang w:val="ro-RO"/>
        </w:rPr>
        <w:t xml:space="preserve">elor sunt relevante următoarele aspecte: </w:t>
      </w:r>
    </w:p>
    <w:p w:rsidR="002301D8" w:rsidRPr="002301D8" w:rsidRDefault="002301D8" w:rsidP="00501AEA">
      <w:pPr>
        <w:spacing w:after="0" w:line="360" w:lineRule="auto"/>
        <w:ind w:firstLine="1440"/>
        <w:jc w:val="both"/>
        <w:rPr>
          <w:rFonts w:ascii="Times New Roman" w:hAnsi="Times New Roman" w:cs="Times New Roman"/>
          <w:bCs/>
          <w:sz w:val="24"/>
          <w:szCs w:val="24"/>
          <w:lang w:val="ro-RO"/>
        </w:rPr>
      </w:pPr>
      <w:r w:rsidRPr="002301D8">
        <w:rPr>
          <w:rFonts w:ascii="Times New Roman" w:hAnsi="Times New Roman" w:cs="Times New Roman"/>
          <w:bCs/>
          <w:sz w:val="24"/>
          <w:szCs w:val="24"/>
          <w:lang w:val="ro-RO"/>
        </w:rPr>
        <w:t xml:space="preserve">- numărul total de posturi de procuror prevăzute în statele de funcţii este 2.973 (dintre care la Parchetul de pe lângă Înalta Curte de Casaţie şi Justiţie - 156, Direcţia de Investigare a Infracţiunilor de Criminalitate Organizată şi Terorism - 295, Direcţia Naţională Anticorupţie - 195, parchetele de pe lângă curţile de apel, tribunale şi judecătorii - 2.234 şi parchetele militare - 93). </w:t>
      </w:r>
    </w:p>
    <w:p w:rsidR="002301D8" w:rsidRDefault="002301D8" w:rsidP="00501AEA">
      <w:pPr>
        <w:spacing w:after="0" w:line="360" w:lineRule="auto"/>
        <w:ind w:firstLine="1440"/>
        <w:jc w:val="both"/>
        <w:rPr>
          <w:rFonts w:ascii="Times New Roman" w:hAnsi="Times New Roman" w:cs="Times New Roman"/>
          <w:bCs/>
          <w:sz w:val="24"/>
          <w:szCs w:val="24"/>
          <w:lang w:val="ro-RO"/>
        </w:rPr>
      </w:pPr>
      <w:r w:rsidRPr="002301D8">
        <w:rPr>
          <w:rFonts w:ascii="Times New Roman" w:hAnsi="Times New Roman" w:cs="Times New Roman"/>
          <w:bCs/>
          <w:sz w:val="24"/>
          <w:szCs w:val="24"/>
          <w:lang w:val="ro-RO"/>
        </w:rPr>
        <w:lastRenderedPageBreak/>
        <w:t>- numărul total de posturi de procuror ocupate - 2.538 (din care la Parchetul de pe lângă Înalta Curte de Casaţie şi Justiţie - 130, Direcţia de Investigare a Infracţiunilor de Criminalitate Organizată şi Terorism - 269, Direcţia Naţională Anticorupţie - 158, parchetele de pe lângă curţile de apel, tribunale şi judecătorii - 1.919 şi parchetele militare - 62).</w:t>
      </w:r>
    </w:p>
    <w:p w:rsidR="002301D8" w:rsidRPr="00D737C3" w:rsidRDefault="002301D8" w:rsidP="00501AEA">
      <w:pPr>
        <w:spacing w:after="0" w:line="360" w:lineRule="auto"/>
        <w:ind w:firstLine="1440"/>
        <w:jc w:val="both"/>
        <w:rPr>
          <w:rFonts w:ascii="Times New Roman" w:hAnsi="Times New Roman" w:cs="Times New Roman"/>
          <w:bCs/>
          <w:sz w:val="24"/>
          <w:szCs w:val="24"/>
          <w:lang w:val="ro-RO"/>
        </w:rPr>
      </w:pPr>
      <w:r w:rsidRPr="00D737C3">
        <w:rPr>
          <w:rFonts w:ascii="Times New Roman" w:hAnsi="Times New Roman" w:cs="Times New Roman"/>
          <w:bCs/>
          <w:sz w:val="24"/>
          <w:szCs w:val="24"/>
          <w:lang w:val="ro-RO"/>
        </w:rPr>
        <w:t xml:space="preserve">În anul 2018 şi-au încetat activitatea </w:t>
      </w:r>
      <w:r w:rsidRPr="00D737C3">
        <w:rPr>
          <w:rFonts w:ascii="Times New Roman" w:hAnsi="Times New Roman" w:cs="Times New Roman"/>
          <w:b/>
          <w:bCs/>
          <w:sz w:val="24"/>
          <w:szCs w:val="24"/>
          <w:lang w:val="ro-RO"/>
        </w:rPr>
        <w:t xml:space="preserve">135 </w:t>
      </w:r>
      <w:r w:rsidRPr="00D737C3">
        <w:rPr>
          <w:rFonts w:ascii="Times New Roman" w:hAnsi="Times New Roman" w:cs="Times New Roman"/>
          <w:bCs/>
          <w:sz w:val="24"/>
          <w:szCs w:val="24"/>
          <w:lang w:val="ro-RO"/>
        </w:rPr>
        <w:t xml:space="preserve">procurori, dintre care: 101 prin pensionare, 26 au fost numiţi în funcţia de judecător, 5 procurori au fost condamnați definitiv pentru săvârșirea unor infracțiuni şi 3 prin deces. </w:t>
      </w:r>
    </w:p>
    <w:p w:rsidR="002301D8" w:rsidRPr="00D737C3" w:rsidRDefault="00767634" w:rsidP="00767634">
      <w:pPr>
        <w:spacing w:after="0" w:line="360" w:lineRule="auto"/>
        <w:ind w:firstLine="1440"/>
        <w:jc w:val="both"/>
        <w:rPr>
          <w:rFonts w:ascii="Times New Roman" w:hAnsi="Times New Roman" w:cs="Times New Roman"/>
          <w:bCs/>
          <w:sz w:val="24"/>
          <w:szCs w:val="24"/>
          <w:lang w:val="ro-RO"/>
        </w:rPr>
      </w:pPr>
      <w:r>
        <w:rPr>
          <w:rFonts w:ascii="Times New Roman" w:hAnsi="Times New Roman" w:cs="Times New Roman"/>
          <w:b/>
          <w:bCs/>
          <w:sz w:val="24"/>
          <w:szCs w:val="24"/>
          <w:lang w:val="ro-RO"/>
        </w:rPr>
        <w:br/>
      </w:r>
      <w:r>
        <w:rPr>
          <w:rFonts w:ascii="Times New Roman" w:hAnsi="Times New Roman" w:cs="Times New Roman"/>
          <w:b/>
          <w:bCs/>
          <w:sz w:val="24"/>
          <w:szCs w:val="24"/>
          <w:lang w:val="ro-RO"/>
        </w:rPr>
        <w:tab/>
      </w:r>
      <w:r w:rsidR="002301D8" w:rsidRPr="00D737C3">
        <w:rPr>
          <w:rFonts w:ascii="Times New Roman" w:hAnsi="Times New Roman" w:cs="Times New Roman"/>
          <w:b/>
          <w:bCs/>
          <w:sz w:val="24"/>
          <w:szCs w:val="24"/>
          <w:lang w:val="ro-RO"/>
        </w:rPr>
        <w:t xml:space="preserve">Funcţii de conducere: </w:t>
      </w:r>
    </w:p>
    <w:p w:rsidR="002301D8" w:rsidRPr="00D737C3" w:rsidRDefault="002301D8" w:rsidP="00767634">
      <w:pPr>
        <w:spacing w:after="0" w:line="360" w:lineRule="auto"/>
        <w:ind w:firstLine="1440"/>
        <w:jc w:val="both"/>
        <w:rPr>
          <w:rFonts w:ascii="Times New Roman" w:hAnsi="Times New Roman" w:cs="Times New Roman"/>
          <w:bCs/>
          <w:sz w:val="24"/>
          <w:szCs w:val="24"/>
          <w:lang w:val="ro-RO"/>
        </w:rPr>
      </w:pPr>
      <w:r w:rsidRPr="00D737C3">
        <w:rPr>
          <w:rFonts w:ascii="Times New Roman" w:hAnsi="Times New Roman" w:cs="Times New Roman"/>
          <w:bCs/>
          <w:sz w:val="24"/>
          <w:szCs w:val="24"/>
          <w:lang w:val="ro-RO"/>
        </w:rPr>
        <w:t xml:space="preserve">La sfârşitul anului 2018, </w:t>
      </w:r>
      <w:r w:rsidR="00D737C3">
        <w:rPr>
          <w:rFonts w:ascii="Times New Roman" w:hAnsi="Times New Roman" w:cs="Times New Roman"/>
          <w:bCs/>
          <w:sz w:val="24"/>
          <w:szCs w:val="24"/>
          <w:lang w:val="ro-RO"/>
        </w:rPr>
        <w:t>existau 631 de</w:t>
      </w:r>
      <w:r w:rsidRPr="00D737C3">
        <w:rPr>
          <w:rFonts w:ascii="Times New Roman" w:hAnsi="Times New Roman" w:cs="Times New Roman"/>
          <w:bCs/>
          <w:sz w:val="24"/>
          <w:szCs w:val="24"/>
          <w:lang w:val="ro-RO"/>
        </w:rPr>
        <w:t xml:space="preserve"> funcţii de conducere prevăzute</w:t>
      </w:r>
      <w:r w:rsidR="00D737C3">
        <w:rPr>
          <w:rFonts w:ascii="Times New Roman" w:hAnsi="Times New Roman" w:cs="Times New Roman"/>
          <w:bCs/>
          <w:sz w:val="24"/>
          <w:szCs w:val="24"/>
          <w:lang w:val="ro-RO"/>
        </w:rPr>
        <w:t xml:space="preserve"> la nivelul Ministerului Public, </w:t>
      </w:r>
      <w:r w:rsidRPr="00D737C3">
        <w:rPr>
          <w:rFonts w:ascii="Times New Roman" w:hAnsi="Times New Roman" w:cs="Times New Roman"/>
          <w:bCs/>
          <w:sz w:val="24"/>
          <w:szCs w:val="24"/>
          <w:lang w:val="ro-RO"/>
        </w:rPr>
        <w:t xml:space="preserve">astfel: </w:t>
      </w:r>
    </w:p>
    <w:p w:rsidR="002301D8" w:rsidRPr="00D737C3" w:rsidRDefault="002301D8" w:rsidP="00767634">
      <w:pPr>
        <w:spacing w:after="0" w:line="360" w:lineRule="auto"/>
        <w:ind w:firstLine="1440"/>
        <w:jc w:val="both"/>
        <w:rPr>
          <w:rFonts w:ascii="Times New Roman" w:hAnsi="Times New Roman" w:cs="Times New Roman"/>
          <w:bCs/>
          <w:sz w:val="24"/>
          <w:szCs w:val="24"/>
          <w:lang w:val="ro-RO"/>
        </w:rPr>
      </w:pPr>
      <w:r w:rsidRPr="00D737C3">
        <w:rPr>
          <w:rFonts w:ascii="Times New Roman" w:hAnsi="Times New Roman" w:cs="Times New Roman"/>
          <w:bCs/>
          <w:sz w:val="24"/>
          <w:szCs w:val="24"/>
          <w:lang w:val="ro-RO"/>
        </w:rPr>
        <w:t xml:space="preserve">- Parchetul de pe lângă Înalta Curte de Casaţie şi Justiţie: 29 </w:t>
      </w:r>
    </w:p>
    <w:p w:rsidR="002301D8" w:rsidRPr="00D737C3" w:rsidRDefault="002301D8" w:rsidP="00767634">
      <w:pPr>
        <w:spacing w:after="0" w:line="360" w:lineRule="auto"/>
        <w:ind w:firstLine="1440"/>
        <w:jc w:val="both"/>
        <w:rPr>
          <w:rFonts w:ascii="Times New Roman" w:hAnsi="Times New Roman" w:cs="Times New Roman"/>
          <w:bCs/>
          <w:sz w:val="24"/>
          <w:szCs w:val="24"/>
          <w:lang w:val="ro-RO"/>
        </w:rPr>
      </w:pPr>
      <w:r w:rsidRPr="00D737C3">
        <w:rPr>
          <w:rFonts w:ascii="Times New Roman" w:hAnsi="Times New Roman" w:cs="Times New Roman"/>
          <w:bCs/>
          <w:sz w:val="24"/>
          <w:szCs w:val="24"/>
          <w:lang w:val="ro-RO"/>
        </w:rPr>
        <w:t xml:space="preserve">- Parchetele de pe lângă curţile de apel (P.C.A): 70 </w:t>
      </w:r>
    </w:p>
    <w:p w:rsidR="002301D8" w:rsidRPr="00D737C3" w:rsidRDefault="002301D8" w:rsidP="00767634">
      <w:pPr>
        <w:spacing w:after="0" w:line="360" w:lineRule="auto"/>
        <w:ind w:firstLine="1440"/>
        <w:jc w:val="both"/>
        <w:rPr>
          <w:rFonts w:ascii="Times New Roman" w:hAnsi="Times New Roman" w:cs="Times New Roman"/>
          <w:bCs/>
          <w:sz w:val="24"/>
          <w:szCs w:val="24"/>
          <w:lang w:val="ro-RO"/>
        </w:rPr>
      </w:pPr>
      <w:r w:rsidRPr="00D737C3">
        <w:rPr>
          <w:rFonts w:ascii="Times New Roman" w:hAnsi="Times New Roman" w:cs="Times New Roman"/>
          <w:bCs/>
          <w:sz w:val="24"/>
          <w:szCs w:val="24"/>
          <w:lang w:val="ro-RO"/>
        </w:rPr>
        <w:t xml:space="preserve">- Parchetele de pe lângă tribunale (P.T.): 172 </w:t>
      </w:r>
    </w:p>
    <w:p w:rsidR="002301D8" w:rsidRPr="00D737C3" w:rsidRDefault="002301D8" w:rsidP="00767634">
      <w:pPr>
        <w:spacing w:after="0" w:line="360" w:lineRule="auto"/>
        <w:ind w:firstLine="1440"/>
        <w:jc w:val="both"/>
        <w:rPr>
          <w:rFonts w:ascii="Times New Roman" w:hAnsi="Times New Roman" w:cs="Times New Roman"/>
          <w:bCs/>
          <w:sz w:val="24"/>
          <w:szCs w:val="24"/>
          <w:lang w:val="ro-RO"/>
        </w:rPr>
      </w:pPr>
      <w:r w:rsidRPr="00D737C3">
        <w:rPr>
          <w:rFonts w:ascii="Times New Roman" w:hAnsi="Times New Roman" w:cs="Times New Roman"/>
          <w:bCs/>
          <w:sz w:val="24"/>
          <w:szCs w:val="24"/>
          <w:lang w:val="ro-RO"/>
        </w:rPr>
        <w:t xml:space="preserve">- Parchetele de pe lângă judecătorii (P.J.): 223 </w:t>
      </w:r>
    </w:p>
    <w:p w:rsidR="002301D8" w:rsidRPr="00D737C3" w:rsidRDefault="002301D8" w:rsidP="00767634">
      <w:pPr>
        <w:spacing w:after="0" w:line="360" w:lineRule="auto"/>
        <w:ind w:firstLine="1440"/>
        <w:jc w:val="both"/>
        <w:rPr>
          <w:rFonts w:ascii="Times New Roman" w:hAnsi="Times New Roman" w:cs="Times New Roman"/>
          <w:bCs/>
          <w:sz w:val="24"/>
          <w:szCs w:val="24"/>
          <w:lang w:val="ro-RO"/>
        </w:rPr>
      </w:pPr>
      <w:r w:rsidRPr="00D737C3">
        <w:rPr>
          <w:rFonts w:ascii="Times New Roman" w:hAnsi="Times New Roman" w:cs="Times New Roman"/>
          <w:bCs/>
          <w:sz w:val="24"/>
          <w:szCs w:val="24"/>
          <w:lang w:val="ro-RO"/>
        </w:rPr>
        <w:t xml:space="preserve">- Direcţia de Investigare a Infracţiunilor de Criminalitate Organizată şi </w:t>
      </w:r>
    </w:p>
    <w:p w:rsidR="002301D8" w:rsidRPr="00D737C3" w:rsidRDefault="002301D8" w:rsidP="00767634">
      <w:pPr>
        <w:spacing w:after="0" w:line="360" w:lineRule="auto"/>
        <w:ind w:firstLine="1440"/>
        <w:jc w:val="both"/>
        <w:rPr>
          <w:rFonts w:ascii="Times New Roman" w:hAnsi="Times New Roman" w:cs="Times New Roman"/>
          <w:bCs/>
          <w:sz w:val="24"/>
          <w:szCs w:val="24"/>
          <w:lang w:val="ro-RO"/>
        </w:rPr>
      </w:pPr>
      <w:r w:rsidRPr="00D737C3">
        <w:rPr>
          <w:rFonts w:ascii="Times New Roman" w:hAnsi="Times New Roman" w:cs="Times New Roman"/>
          <w:bCs/>
          <w:sz w:val="24"/>
          <w:szCs w:val="24"/>
          <w:lang w:val="ro-RO"/>
        </w:rPr>
        <w:t xml:space="preserve">Terorism (D.I.I.C.O.T.) 63 </w:t>
      </w:r>
    </w:p>
    <w:p w:rsidR="002301D8" w:rsidRPr="00D737C3" w:rsidRDefault="002301D8" w:rsidP="00767634">
      <w:pPr>
        <w:spacing w:after="0" w:line="360" w:lineRule="auto"/>
        <w:ind w:firstLine="1440"/>
        <w:jc w:val="both"/>
        <w:rPr>
          <w:rFonts w:ascii="Times New Roman" w:hAnsi="Times New Roman" w:cs="Times New Roman"/>
          <w:bCs/>
          <w:sz w:val="24"/>
          <w:szCs w:val="24"/>
          <w:lang w:val="ro-RO"/>
        </w:rPr>
      </w:pPr>
      <w:r w:rsidRPr="00D737C3">
        <w:rPr>
          <w:rFonts w:ascii="Times New Roman" w:hAnsi="Times New Roman" w:cs="Times New Roman"/>
          <w:bCs/>
          <w:sz w:val="24"/>
          <w:szCs w:val="24"/>
          <w:lang w:val="ro-RO"/>
        </w:rPr>
        <w:t xml:space="preserve">- Direcţia Naţională Anticorupţie (D.N.A.): 42 </w:t>
      </w:r>
    </w:p>
    <w:p w:rsidR="002301D8" w:rsidRDefault="002301D8" w:rsidP="00767634">
      <w:pPr>
        <w:spacing w:after="0" w:line="360" w:lineRule="auto"/>
        <w:ind w:firstLine="1440"/>
        <w:jc w:val="both"/>
        <w:rPr>
          <w:rFonts w:ascii="Times New Roman" w:hAnsi="Times New Roman" w:cs="Times New Roman"/>
          <w:bCs/>
          <w:sz w:val="24"/>
          <w:szCs w:val="24"/>
          <w:lang w:val="ro-RO"/>
        </w:rPr>
      </w:pPr>
      <w:r w:rsidRPr="00D737C3">
        <w:rPr>
          <w:rFonts w:ascii="Times New Roman" w:hAnsi="Times New Roman" w:cs="Times New Roman"/>
          <w:bCs/>
          <w:sz w:val="24"/>
          <w:szCs w:val="24"/>
          <w:lang w:val="ro-RO"/>
        </w:rPr>
        <w:t xml:space="preserve">- Parchetele militare (P.M.): 32 </w:t>
      </w:r>
    </w:p>
    <w:p w:rsidR="00D737C3" w:rsidRPr="00D737C3" w:rsidRDefault="00D737C3" w:rsidP="00767634">
      <w:pPr>
        <w:spacing w:after="0" w:line="360" w:lineRule="auto"/>
        <w:ind w:firstLine="1440"/>
        <w:jc w:val="both"/>
        <w:rPr>
          <w:rFonts w:ascii="Times New Roman" w:hAnsi="Times New Roman" w:cs="Times New Roman"/>
          <w:bCs/>
          <w:sz w:val="24"/>
          <w:szCs w:val="24"/>
          <w:lang w:val="ro-RO"/>
        </w:rPr>
      </w:pPr>
      <w:r w:rsidRPr="00D737C3">
        <w:rPr>
          <w:rFonts w:ascii="Times New Roman" w:hAnsi="Times New Roman" w:cs="Times New Roman"/>
          <w:bCs/>
          <w:sz w:val="24"/>
          <w:szCs w:val="24"/>
          <w:lang w:val="ro-RO"/>
        </w:rPr>
        <w:t xml:space="preserve">Din totalul funcţiilor de conducere prevăzute la data de 31 decembrie 2018, </w:t>
      </w:r>
      <w:r w:rsidRPr="00D737C3">
        <w:rPr>
          <w:rFonts w:ascii="Times New Roman" w:hAnsi="Times New Roman" w:cs="Times New Roman"/>
          <w:b/>
          <w:bCs/>
          <w:sz w:val="24"/>
          <w:szCs w:val="24"/>
          <w:lang w:val="ro-RO"/>
        </w:rPr>
        <w:t xml:space="preserve">197 </w:t>
      </w:r>
      <w:r w:rsidRPr="00D737C3">
        <w:rPr>
          <w:rFonts w:ascii="Times New Roman" w:hAnsi="Times New Roman" w:cs="Times New Roman"/>
          <w:bCs/>
          <w:sz w:val="24"/>
          <w:szCs w:val="24"/>
          <w:lang w:val="ro-RO"/>
        </w:rPr>
        <w:t xml:space="preserve">erau vacante (din care: la Parchetul de pe lângă Înalta Curte de Casaţie şi Justiţie şi parchetele de pe lângă curţile de apel, tribunale şi judecătorii – 145, Direcţia de Investigare a Infracţiunilor de Criminalitate Organizată şi Terorism – 17, Direcţia Naţională Anticorupţie – 17, parchetele militare – 18). </w:t>
      </w:r>
    </w:p>
    <w:p w:rsidR="00D737C3" w:rsidRPr="00D737C3" w:rsidRDefault="00D737C3" w:rsidP="00767634">
      <w:pPr>
        <w:spacing w:after="0" w:line="360" w:lineRule="auto"/>
        <w:ind w:firstLine="1440"/>
        <w:jc w:val="both"/>
        <w:rPr>
          <w:rFonts w:ascii="Times New Roman" w:hAnsi="Times New Roman" w:cs="Times New Roman"/>
          <w:bCs/>
          <w:sz w:val="24"/>
          <w:szCs w:val="24"/>
          <w:lang w:val="ro-RO"/>
        </w:rPr>
      </w:pPr>
      <w:r w:rsidRPr="00D737C3">
        <w:rPr>
          <w:rFonts w:ascii="Times New Roman" w:hAnsi="Times New Roman" w:cs="Times New Roman"/>
          <w:bCs/>
          <w:sz w:val="24"/>
          <w:szCs w:val="24"/>
          <w:lang w:val="ro-RO"/>
        </w:rPr>
        <w:t xml:space="preserve">Comparativ cu anul 2017 (69,00%), în anul 2018 se constată menținerea gradului de ocupare a funcţiilor de conducere prin numire (68,78%). </w:t>
      </w:r>
    </w:p>
    <w:p w:rsidR="00D737C3" w:rsidRDefault="00D737C3" w:rsidP="00767634">
      <w:pPr>
        <w:spacing w:after="0" w:line="360" w:lineRule="auto"/>
        <w:ind w:firstLine="1440"/>
        <w:jc w:val="both"/>
        <w:rPr>
          <w:rFonts w:ascii="Times New Roman" w:hAnsi="Times New Roman" w:cs="Times New Roman"/>
          <w:bCs/>
          <w:sz w:val="24"/>
          <w:szCs w:val="24"/>
          <w:lang w:val="ro-RO"/>
        </w:rPr>
      </w:pPr>
      <w:r w:rsidRPr="00D737C3">
        <w:rPr>
          <w:rFonts w:ascii="Times New Roman" w:hAnsi="Times New Roman" w:cs="Times New Roman"/>
          <w:bCs/>
          <w:sz w:val="24"/>
          <w:szCs w:val="24"/>
          <w:lang w:val="ro-RO"/>
        </w:rPr>
        <w:t xml:space="preserve">Pe parcursul anului 2018 s-a constatat că au existat parchete de pe lângă judecătorii care au avut în structură un singur post de procuror ocupat prin numire, aceasta reprezentând o consecință a transferurilor și </w:t>
      </w:r>
      <w:r w:rsidRPr="00D739A9">
        <w:rPr>
          <w:rFonts w:ascii="Times New Roman" w:hAnsi="Times New Roman" w:cs="Times New Roman"/>
          <w:bCs/>
          <w:sz w:val="24"/>
          <w:szCs w:val="24"/>
          <w:lang w:val="ro-RO"/>
        </w:rPr>
        <w:t>promovărilor în funcți</w:t>
      </w:r>
      <w:r w:rsidR="00D739A9">
        <w:rPr>
          <w:rFonts w:ascii="Times New Roman" w:hAnsi="Times New Roman" w:cs="Times New Roman"/>
          <w:bCs/>
          <w:sz w:val="24"/>
          <w:szCs w:val="24"/>
          <w:lang w:val="ro-RO"/>
        </w:rPr>
        <w:t>i de execuții</w:t>
      </w:r>
      <w:r w:rsidRPr="00D737C3">
        <w:rPr>
          <w:rFonts w:ascii="Times New Roman" w:hAnsi="Times New Roman" w:cs="Times New Roman"/>
          <w:bCs/>
          <w:sz w:val="24"/>
          <w:szCs w:val="24"/>
          <w:lang w:val="ro-RO"/>
        </w:rPr>
        <w:t>.</w:t>
      </w:r>
    </w:p>
    <w:p w:rsidR="00767634" w:rsidRDefault="00767634" w:rsidP="00767634">
      <w:pPr>
        <w:spacing w:after="0" w:line="360" w:lineRule="auto"/>
        <w:ind w:firstLine="1440"/>
        <w:jc w:val="both"/>
        <w:rPr>
          <w:rFonts w:ascii="Times New Roman" w:hAnsi="Times New Roman" w:cs="Times New Roman"/>
          <w:b/>
          <w:bCs/>
          <w:sz w:val="24"/>
          <w:szCs w:val="24"/>
          <w:u w:val="single"/>
          <w:lang w:val="ro-RO"/>
        </w:rPr>
      </w:pPr>
    </w:p>
    <w:p w:rsidR="00D737C3" w:rsidRPr="006835D2" w:rsidRDefault="00767634" w:rsidP="00767634">
      <w:pPr>
        <w:spacing w:after="0" w:line="360" w:lineRule="auto"/>
        <w:ind w:firstLine="1440"/>
        <w:jc w:val="both"/>
        <w:rPr>
          <w:rFonts w:ascii="Times New Roman" w:hAnsi="Times New Roman" w:cs="Times New Roman"/>
          <w:b/>
          <w:bCs/>
          <w:sz w:val="24"/>
          <w:szCs w:val="24"/>
          <w:u w:val="single"/>
          <w:lang w:val="ro-RO"/>
        </w:rPr>
      </w:pPr>
      <w:r>
        <w:rPr>
          <w:rFonts w:ascii="Times New Roman" w:hAnsi="Times New Roman" w:cs="Times New Roman"/>
          <w:b/>
          <w:bCs/>
          <w:sz w:val="24"/>
          <w:szCs w:val="24"/>
          <w:u w:val="single"/>
          <w:lang w:val="ro-RO"/>
        </w:rPr>
        <w:t>c</w:t>
      </w:r>
      <w:r w:rsidR="00D737C3" w:rsidRPr="006835D2">
        <w:rPr>
          <w:rFonts w:ascii="Times New Roman" w:hAnsi="Times New Roman" w:cs="Times New Roman"/>
          <w:b/>
          <w:bCs/>
          <w:sz w:val="24"/>
          <w:szCs w:val="24"/>
          <w:u w:val="single"/>
          <w:lang w:val="ro-RO"/>
        </w:rPr>
        <w:t>. Starea infracțională</w:t>
      </w:r>
    </w:p>
    <w:p w:rsidR="00D737C3" w:rsidRPr="006835D2" w:rsidRDefault="00D737C3" w:rsidP="00767634">
      <w:pPr>
        <w:spacing w:after="0" w:line="360" w:lineRule="auto"/>
        <w:ind w:firstLine="1440"/>
        <w:jc w:val="both"/>
        <w:rPr>
          <w:rFonts w:ascii="Times New Roman" w:hAnsi="Times New Roman" w:cs="Times New Roman"/>
          <w:bCs/>
          <w:sz w:val="24"/>
          <w:szCs w:val="24"/>
          <w:lang w:val="ro-RO"/>
        </w:rPr>
      </w:pPr>
      <w:r w:rsidRPr="006835D2">
        <w:rPr>
          <w:rFonts w:ascii="Times New Roman" w:hAnsi="Times New Roman" w:cs="Times New Roman"/>
          <w:bCs/>
          <w:sz w:val="24"/>
          <w:szCs w:val="24"/>
          <w:lang w:val="ro-RO"/>
        </w:rPr>
        <w:t xml:space="preserve">În anul 2018 din numărul dosarelor de soluţionat (1.753.540) au fost soluţionate 543.971 dosare, din care 46.441 prin rechizitorii și acorduri de recunoaștere a vinovăției, </w:t>
      </w:r>
      <w:r w:rsidRPr="006835D2">
        <w:rPr>
          <w:rFonts w:ascii="Times New Roman" w:hAnsi="Times New Roman" w:cs="Times New Roman"/>
          <w:bCs/>
          <w:sz w:val="24"/>
          <w:szCs w:val="24"/>
          <w:lang w:val="ro-RO"/>
        </w:rPr>
        <w:lastRenderedPageBreak/>
        <w:t>dispunându-se trimiterea în judecată a 58.737 inculpaţi persoane fizice (</w:t>
      </w:r>
      <w:r w:rsidRPr="006835D2">
        <w:rPr>
          <w:rFonts w:ascii="Times New Roman" w:hAnsi="Times New Roman" w:cs="Times New Roman"/>
          <w:bCs/>
          <w:i/>
          <w:iCs/>
          <w:sz w:val="24"/>
          <w:szCs w:val="24"/>
          <w:lang w:val="ro-RO"/>
        </w:rPr>
        <w:t>anexa nr. 2.1.a</w:t>
      </w:r>
      <w:r w:rsidRPr="006835D2">
        <w:rPr>
          <w:rFonts w:ascii="Times New Roman" w:hAnsi="Times New Roman" w:cs="Times New Roman"/>
          <w:bCs/>
          <w:sz w:val="24"/>
          <w:szCs w:val="24"/>
          <w:lang w:val="ro-RO"/>
        </w:rPr>
        <w:t xml:space="preserve">) şi 242 inculpaţi persoane juridice. </w:t>
      </w:r>
    </w:p>
    <w:p w:rsidR="00D737C3" w:rsidRPr="006835D2" w:rsidRDefault="00D737C3" w:rsidP="00767634">
      <w:pPr>
        <w:spacing w:after="0" w:line="360" w:lineRule="auto"/>
        <w:ind w:firstLine="1440"/>
        <w:jc w:val="both"/>
        <w:rPr>
          <w:rFonts w:ascii="Times New Roman" w:hAnsi="Times New Roman" w:cs="Times New Roman"/>
          <w:bCs/>
          <w:sz w:val="24"/>
          <w:szCs w:val="24"/>
          <w:lang w:val="ro-RO"/>
        </w:rPr>
      </w:pPr>
      <w:r w:rsidRPr="006835D2">
        <w:rPr>
          <w:rFonts w:ascii="Times New Roman" w:hAnsi="Times New Roman" w:cs="Times New Roman"/>
          <w:bCs/>
          <w:sz w:val="24"/>
          <w:szCs w:val="24"/>
          <w:lang w:val="ro-RO"/>
        </w:rPr>
        <w:t>Din totalul inculpaţilor persoane fizice trimişi în judecată</w:t>
      </w:r>
      <w:r w:rsidR="00767634">
        <w:rPr>
          <w:rFonts w:ascii="Times New Roman" w:hAnsi="Times New Roman" w:cs="Times New Roman"/>
          <w:bCs/>
          <w:sz w:val="24"/>
          <w:szCs w:val="24"/>
          <w:lang w:val="ro-RO"/>
        </w:rPr>
        <w:t>,</w:t>
      </w:r>
      <w:r w:rsidRPr="006835D2">
        <w:rPr>
          <w:rFonts w:ascii="Times New Roman" w:hAnsi="Times New Roman" w:cs="Times New Roman"/>
          <w:bCs/>
          <w:sz w:val="24"/>
          <w:szCs w:val="24"/>
          <w:lang w:val="ro-RO"/>
        </w:rPr>
        <w:t xml:space="preserve"> 53.991 sunt bărbaţi (91,9%) şi 4.746 sunt femei (8,1%). Din totalul inculpaţilor persoane fizice trimişi în judecată 3.704 sunt minori (6,3%) – </w:t>
      </w:r>
      <w:r w:rsidRPr="006835D2">
        <w:rPr>
          <w:rFonts w:ascii="Times New Roman" w:hAnsi="Times New Roman" w:cs="Times New Roman"/>
          <w:bCs/>
          <w:i/>
          <w:iCs/>
          <w:sz w:val="24"/>
          <w:szCs w:val="24"/>
          <w:lang w:val="ro-RO"/>
        </w:rPr>
        <w:t>anexa nr. 2.1.b</w:t>
      </w:r>
      <w:r w:rsidRPr="006835D2">
        <w:rPr>
          <w:rFonts w:ascii="Times New Roman" w:hAnsi="Times New Roman" w:cs="Times New Roman"/>
          <w:bCs/>
          <w:sz w:val="24"/>
          <w:szCs w:val="24"/>
          <w:lang w:val="ro-RO"/>
        </w:rPr>
        <w:t xml:space="preserve">. </w:t>
      </w:r>
    </w:p>
    <w:p w:rsidR="00767634" w:rsidRDefault="00D737C3" w:rsidP="00D737C3">
      <w:pPr>
        <w:spacing w:line="360" w:lineRule="auto"/>
        <w:ind w:firstLine="1440"/>
        <w:jc w:val="both"/>
        <w:rPr>
          <w:rFonts w:ascii="Times New Roman" w:hAnsi="Times New Roman" w:cs="Times New Roman"/>
          <w:bCs/>
          <w:sz w:val="24"/>
          <w:szCs w:val="24"/>
          <w:lang w:val="ro-RO"/>
        </w:rPr>
      </w:pPr>
      <w:r w:rsidRPr="006835D2">
        <w:rPr>
          <w:rFonts w:ascii="Times New Roman" w:hAnsi="Times New Roman" w:cs="Times New Roman"/>
          <w:bCs/>
          <w:sz w:val="24"/>
          <w:szCs w:val="24"/>
          <w:lang w:val="ro-RO"/>
        </w:rPr>
        <w:t xml:space="preserve">Faţă de 30.657 suspecți și inculpați persoane fizice s-a adoptat soluția de renunțare la urmărirea penală. </w:t>
      </w:r>
    </w:p>
    <w:p w:rsidR="00D737C3" w:rsidRPr="006835D2" w:rsidRDefault="00D737C3" w:rsidP="00D737C3">
      <w:pPr>
        <w:spacing w:line="360" w:lineRule="auto"/>
        <w:ind w:firstLine="1440"/>
        <w:jc w:val="both"/>
        <w:rPr>
          <w:rFonts w:ascii="Times New Roman" w:hAnsi="Times New Roman" w:cs="Times New Roman"/>
          <w:bCs/>
          <w:sz w:val="24"/>
          <w:szCs w:val="24"/>
          <w:lang w:val="ro-RO"/>
        </w:rPr>
      </w:pPr>
      <w:r w:rsidRPr="006835D2">
        <w:rPr>
          <w:rFonts w:ascii="Times New Roman" w:hAnsi="Times New Roman" w:cs="Times New Roman"/>
          <w:b/>
          <w:bCs/>
          <w:sz w:val="24"/>
          <w:szCs w:val="24"/>
          <w:lang w:val="ro-RO"/>
        </w:rPr>
        <w:t>Media inculpaţilor persoane fizice trimişi în judecată la 100.000 locuitori a fost de 301</w:t>
      </w:r>
      <w:r w:rsidRPr="006835D2">
        <w:rPr>
          <w:rFonts w:ascii="Times New Roman" w:hAnsi="Times New Roman" w:cs="Times New Roman"/>
          <w:bCs/>
          <w:sz w:val="24"/>
          <w:szCs w:val="24"/>
          <w:lang w:val="ro-RO"/>
        </w:rPr>
        <w:t>, mai mică faţă de 305 în anul 2017 (</w:t>
      </w:r>
      <w:r w:rsidRPr="006835D2">
        <w:rPr>
          <w:rFonts w:ascii="Times New Roman" w:hAnsi="Times New Roman" w:cs="Times New Roman"/>
          <w:bCs/>
          <w:i/>
          <w:iCs/>
          <w:sz w:val="24"/>
          <w:szCs w:val="24"/>
          <w:lang w:val="ro-RO"/>
        </w:rPr>
        <w:t>anexa nr. 2.2</w:t>
      </w:r>
      <w:r w:rsidRPr="006835D2">
        <w:rPr>
          <w:rFonts w:ascii="Times New Roman" w:hAnsi="Times New Roman" w:cs="Times New Roman"/>
          <w:bCs/>
          <w:sz w:val="24"/>
          <w:szCs w:val="24"/>
          <w:lang w:val="ro-RO"/>
        </w:rPr>
        <w:t>.)</w:t>
      </w:r>
    </w:p>
    <w:p w:rsidR="00D737C3" w:rsidRDefault="006835D2" w:rsidP="00D737C3">
      <w:pPr>
        <w:spacing w:line="360" w:lineRule="auto"/>
        <w:ind w:firstLine="1440"/>
        <w:jc w:val="both"/>
        <w:rPr>
          <w:rFonts w:ascii="Times New Roman" w:hAnsi="Times New Roman" w:cs="Times New Roman"/>
          <w:bCs/>
          <w:sz w:val="24"/>
          <w:szCs w:val="24"/>
          <w:lang w:val="ro-RO"/>
        </w:rPr>
      </w:pPr>
      <w:r w:rsidRPr="006835D2">
        <w:rPr>
          <w:rFonts w:ascii="Times New Roman" w:hAnsi="Times New Roman" w:cs="Times New Roman"/>
          <w:bCs/>
          <w:sz w:val="24"/>
          <w:szCs w:val="24"/>
          <w:lang w:val="ro-RO"/>
        </w:rPr>
        <w:t>Din raportul de bilanț al PÎCCJ rezultă și d</w:t>
      </w:r>
      <w:r w:rsidR="00D737C3" w:rsidRPr="006835D2">
        <w:rPr>
          <w:rFonts w:ascii="Times New Roman" w:hAnsi="Times New Roman" w:cs="Times New Roman"/>
          <w:bCs/>
          <w:sz w:val="24"/>
          <w:szCs w:val="24"/>
          <w:lang w:val="ro-RO"/>
        </w:rPr>
        <w:t>inamica celor mai impo</w:t>
      </w:r>
      <w:r>
        <w:rPr>
          <w:rFonts w:ascii="Times New Roman" w:hAnsi="Times New Roman" w:cs="Times New Roman"/>
          <w:bCs/>
          <w:sz w:val="24"/>
          <w:szCs w:val="24"/>
          <w:lang w:val="ro-RO"/>
        </w:rPr>
        <w:t>rtante categorii de infracţiuni, care, deși vor constitui o preocupare de analiză în cele ce urmează, nu au putut fi inserate în proiectul de management din considerente de spațiu, fiind trecute într-o anexă separată.</w:t>
      </w:r>
      <w:r w:rsidR="00BC34E4">
        <w:rPr>
          <w:rFonts w:ascii="Times New Roman" w:hAnsi="Times New Roman" w:cs="Times New Roman"/>
          <w:bCs/>
          <w:sz w:val="24"/>
          <w:szCs w:val="24"/>
          <w:lang w:val="ro-RO"/>
        </w:rPr>
        <w:t xml:space="preserve"> </w:t>
      </w:r>
    </w:p>
    <w:p w:rsidR="00BC34E4" w:rsidRDefault="00767634" w:rsidP="00767634">
      <w:pPr>
        <w:spacing w:after="0" w:line="360" w:lineRule="auto"/>
        <w:ind w:firstLine="1440"/>
        <w:jc w:val="both"/>
        <w:rPr>
          <w:rFonts w:ascii="Times New Roman" w:hAnsi="Times New Roman" w:cs="Times New Roman"/>
          <w:b/>
          <w:bCs/>
          <w:sz w:val="24"/>
          <w:szCs w:val="24"/>
          <w:u w:val="single"/>
          <w:lang w:val="ro-RO"/>
        </w:rPr>
      </w:pPr>
      <w:r>
        <w:rPr>
          <w:rFonts w:ascii="Times New Roman" w:hAnsi="Times New Roman" w:cs="Times New Roman"/>
          <w:b/>
          <w:bCs/>
          <w:sz w:val="24"/>
          <w:szCs w:val="24"/>
          <w:u w:val="single"/>
          <w:lang w:val="ro-RO"/>
        </w:rPr>
        <w:t>d.</w:t>
      </w:r>
      <w:r w:rsidR="00BC34E4" w:rsidRPr="00BC34E4">
        <w:rPr>
          <w:rFonts w:ascii="Times New Roman" w:hAnsi="Times New Roman" w:cs="Times New Roman"/>
          <w:b/>
          <w:bCs/>
          <w:sz w:val="24"/>
          <w:szCs w:val="24"/>
          <w:u w:val="single"/>
          <w:lang w:val="ro-RO"/>
        </w:rPr>
        <w:t xml:space="preserve"> Capacitatea operațională</w:t>
      </w:r>
    </w:p>
    <w:p w:rsidR="00BC34E4" w:rsidRPr="00342B38" w:rsidRDefault="00BC34E4" w:rsidP="00767634">
      <w:pPr>
        <w:spacing w:after="0" w:line="360" w:lineRule="auto"/>
        <w:ind w:firstLine="1440"/>
        <w:jc w:val="both"/>
        <w:rPr>
          <w:rFonts w:ascii="Times New Roman" w:hAnsi="Times New Roman" w:cs="Times New Roman"/>
          <w:bCs/>
          <w:sz w:val="24"/>
          <w:szCs w:val="24"/>
          <w:lang w:val="ro-RO"/>
        </w:rPr>
      </w:pPr>
      <w:r w:rsidRPr="00342B38">
        <w:rPr>
          <w:rFonts w:ascii="Times New Roman" w:hAnsi="Times New Roman" w:cs="Times New Roman"/>
          <w:bCs/>
          <w:i/>
          <w:iCs/>
          <w:sz w:val="24"/>
          <w:szCs w:val="24"/>
          <w:lang w:val="ro-RO"/>
        </w:rPr>
        <w:t xml:space="preserve">Resursele materiale aflate la dispoziţia parchetelor în anul 2018 </w:t>
      </w:r>
    </w:p>
    <w:p w:rsidR="00BC34E4" w:rsidRPr="00342B38" w:rsidRDefault="00BC34E4" w:rsidP="00767634">
      <w:pPr>
        <w:spacing w:after="0" w:line="360" w:lineRule="auto"/>
        <w:ind w:firstLine="1440"/>
        <w:jc w:val="both"/>
        <w:rPr>
          <w:rFonts w:ascii="Times New Roman" w:hAnsi="Times New Roman" w:cs="Times New Roman"/>
          <w:bCs/>
          <w:sz w:val="24"/>
          <w:szCs w:val="24"/>
          <w:lang w:val="ro-RO"/>
        </w:rPr>
      </w:pPr>
      <w:r w:rsidRPr="00342B38">
        <w:rPr>
          <w:rFonts w:ascii="Times New Roman" w:hAnsi="Times New Roman" w:cs="Times New Roman"/>
          <w:bCs/>
          <w:sz w:val="24"/>
          <w:szCs w:val="24"/>
          <w:lang w:val="ro-RO"/>
        </w:rPr>
        <w:t>Prin Legea bugetului de stat pe anul 2018 nr. 2/2018, Ministerului Public i-au fost aprobate fonduri bugetare în sumă totală de 1.291.861 mii lei credite de angajament si 1.234.684 mii lei credite bugetare, din care 1.289.461 mii lei credite de angajament si 1.232.284 mii lei credite bugetare la sursa ”</w:t>
      </w:r>
      <w:r w:rsidRPr="00342B38">
        <w:rPr>
          <w:rFonts w:ascii="Times New Roman" w:hAnsi="Times New Roman" w:cs="Times New Roman"/>
          <w:bCs/>
          <w:i/>
          <w:iCs/>
          <w:sz w:val="24"/>
          <w:szCs w:val="24"/>
          <w:lang w:val="ro-RO"/>
        </w:rPr>
        <w:t>Buget de stat</w:t>
      </w:r>
      <w:r w:rsidRPr="00342B38">
        <w:rPr>
          <w:rFonts w:ascii="Times New Roman" w:hAnsi="Times New Roman" w:cs="Times New Roman"/>
          <w:bCs/>
          <w:sz w:val="24"/>
          <w:szCs w:val="24"/>
          <w:lang w:val="ro-RO"/>
        </w:rPr>
        <w:t>” şi 2.400 mii lei credite bugetare și de angajament la sursa ”</w:t>
      </w:r>
      <w:r w:rsidRPr="00342B38">
        <w:rPr>
          <w:rFonts w:ascii="Times New Roman" w:hAnsi="Times New Roman" w:cs="Times New Roman"/>
          <w:bCs/>
          <w:i/>
          <w:iCs/>
          <w:sz w:val="24"/>
          <w:szCs w:val="24"/>
          <w:lang w:val="ro-RO"/>
        </w:rPr>
        <w:t>Fonduri externe nerambursabile</w:t>
      </w:r>
      <w:r w:rsidRPr="00342B38">
        <w:rPr>
          <w:rFonts w:ascii="Times New Roman" w:hAnsi="Times New Roman" w:cs="Times New Roman"/>
          <w:bCs/>
          <w:sz w:val="24"/>
          <w:szCs w:val="24"/>
          <w:lang w:val="ro-RO"/>
        </w:rPr>
        <w:t>”.</w:t>
      </w:r>
      <w:r w:rsidRPr="00342B38">
        <w:rPr>
          <w:sz w:val="28"/>
          <w:szCs w:val="28"/>
          <w:lang w:val="ro-RO"/>
        </w:rPr>
        <w:t xml:space="preserve"> </w:t>
      </w:r>
      <w:r w:rsidRPr="00342B38">
        <w:rPr>
          <w:rFonts w:ascii="Times New Roman" w:hAnsi="Times New Roman" w:cs="Times New Roman"/>
          <w:bCs/>
          <w:sz w:val="24"/>
          <w:szCs w:val="24"/>
          <w:lang w:val="ro-RO"/>
        </w:rPr>
        <w:t>În bugetul Ministerului Public pe anul 2018, au fost aprobate distinct, ca anexe, bugetele Direcţiei Naţionale Anticorupţie şi Direcţiei de Investigare a Infracţiunilor de Criminalitate Organizată şi Terorism.</w:t>
      </w:r>
    </w:p>
    <w:p w:rsidR="007F580C" w:rsidRPr="007F580C" w:rsidRDefault="007F580C" w:rsidP="007F2F1D">
      <w:pPr>
        <w:spacing w:line="360" w:lineRule="auto"/>
        <w:jc w:val="both"/>
        <w:rPr>
          <w:rFonts w:ascii="Times New Roman" w:hAnsi="Times New Roman" w:cs="Times New Roman"/>
          <w:bCs/>
          <w:sz w:val="24"/>
          <w:szCs w:val="24"/>
          <w:lang w:val="ro-RO"/>
        </w:rPr>
      </w:pPr>
    </w:p>
    <w:p w:rsidR="00767634" w:rsidRDefault="00767634" w:rsidP="00767634">
      <w:pPr>
        <w:tabs>
          <w:tab w:val="left" w:pos="1275"/>
        </w:tabs>
        <w:spacing w:after="0" w:line="360" w:lineRule="auto"/>
        <w:jc w:val="both"/>
        <w:rPr>
          <w:rFonts w:ascii="Times New Roman" w:hAnsi="Times New Roman" w:cs="Times New Roman"/>
          <w:b/>
          <w:sz w:val="24"/>
          <w:szCs w:val="24"/>
          <w:u w:val="single"/>
          <w:lang w:val="ro-RO"/>
        </w:rPr>
      </w:pPr>
      <w:r w:rsidRPr="00767634">
        <w:rPr>
          <w:rFonts w:ascii="Times New Roman" w:hAnsi="Times New Roman" w:cs="Times New Roman"/>
          <w:b/>
          <w:sz w:val="24"/>
          <w:szCs w:val="24"/>
          <w:lang w:val="ro-RO"/>
        </w:rPr>
        <w:tab/>
      </w:r>
      <w:r w:rsidR="004D29D5" w:rsidRPr="007F580C">
        <w:rPr>
          <w:rFonts w:ascii="Times New Roman" w:hAnsi="Times New Roman" w:cs="Times New Roman"/>
          <w:b/>
          <w:sz w:val="24"/>
          <w:szCs w:val="24"/>
          <w:u w:val="single"/>
          <w:lang w:val="ro-RO"/>
        </w:rPr>
        <w:t xml:space="preserve">Capitolul III </w:t>
      </w:r>
    </w:p>
    <w:p w:rsidR="004D29D5" w:rsidRDefault="00A70C96" w:rsidP="00767634">
      <w:pPr>
        <w:tabs>
          <w:tab w:val="left" w:pos="1275"/>
        </w:tabs>
        <w:spacing w:after="0" w:line="360" w:lineRule="auto"/>
        <w:jc w:val="both"/>
        <w:rPr>
          <w:rFonts w:ascii="Times New Roman" w:hAnsi="Times New Roman" w:cs="Times New Roman"/>
          <w:b/>
          <w:sz w:val="24"/>
          <w:szCs w:val="24"/>
          <w:u w:val="single"/>
          <w:lang w:val="ro-RO"/>
        </w:rPr>
      </w:pPr>
      <w:r w:rsidRPr="00A70C96">
        <w:rPr>
          <w:rFonts w:ascii="Times New Roman" w:hAnsi="Times New Roman" w:cs="Times New Roman"/>
          <w:b/>
          <w:sz w:val="24"/>
          <w:szCs w:val="24"/>
          <w:lang w:val="ro-RO"/>
        </w:rPr>
        <w:tab/>
      </w:r>
      <w:r w:rsidR="004D29D5" w:rsidRPr="007F580C">
        <w:rPr>
          <w:rFonts w:ascii="Times New Roman" w:hAnsi="Times New Roman" w:cs="Times New Roman"/>
          <w:b/>
          <w:sz w:val="24"/>
          <w:szCs w:val="24"/>
          <w:u w:val="single"/>
          <w:lang w:val="ro-RO"/>
        </w:rPr>
        <w:t>Analiza vulnerabilităţilor de sistem şi a oportunităţilor</w:t>
      </w:r>
    </w:p>
    <w:p w:rsidR="008B2619" w:rsidRDefault="007F2F1D" w:rsidP="00767634">
      <w:pPr>
        <w:pStyle w:val="ListParagraph"/>
        <w:spacing w:after="0" w:line="360" w:lineRule="auto"/>
        <w:ind w:left="0"/>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ab/>
      </w:r>
      <w:r w:rsidRPr="00D72F84">
        <w:rPr>
          <w:rFonts w:ascii="Times New Roman" w:hAnsi="Times New Roman" w:cs="Times New Roman"/>
          <w:sz w:val="24"/>
          <w:szCs w:val="24"/>
          <w:lang w:val="ro-RO"/>
        </w:rPr>
        <w:t>Pornind de la datele s</w:t>
      </w:r>
      <w:r w:rsidR="00767634">
        <w:rPr>
          <w:rFonts w:ascii="Times New Roman" w:hAnsi="Times New Roman" w:cs="Times New Roman"/>
          <w:sz w:val="24"/>
          <w:szCs w:val="24"/>
          <w:lang w:val="ro-RO"/>
        </w:rPr>
        <w:t>t</w:t>
      </w:r>
      <w:r w:rsidRPr="00D72F84">
        <w:rPr>
          <w:rFonts w:ascii="Times New Roman" w:hAnsi="Times New Roman" w:cs="Times New Roman"/>
          <w:sz w:val="24"/>
          <w:szCs w:val="24"/>
          <w:lang w:val="ro-RO"/>
        </w:rPr>
        <w:t>atistice prezentate mai sus, c</w:t>
      </w:r>
      <w:r w:rsidR="008B2619" w:rsidRPr="00D72F84">
        <w:rPr>
          <w:rFonts w:ascii="Times New Roman" w:hAnsi="Times New Roman" w:cs="Times New Roman"/>
          <w:sz w:val="24"/>
          <w:szCs w:val="24"/>
          <w:lang w:val="ro-RO"/>
        </w:rPr>
        <w:t>oroborate cu datele referitoare</w:t>
      </w:r>
      <w:r w:rsidR="00767634">
        <w:rPr>
          <w:rFonts w:ascii="Times New Roman" w:hAnsi="Times New Roman" w:cs="Times New Roman"/>
          <w:sz w:val="24"/>
          <w:szCs w:val="24"/>
          <w:lang w:val="ro-RO"/>
        </w:rPr>
        <w:t xml:space="preserve"> </w:t>
      </w:r>
      <w:r w:rsidRPr="00D72F84">
        <w:rPr>
          <w:rFonts w:ascii="Times New Roman" w:hAnsi="Times New Roman" w:cs="Times New Roman"/>
          <w:sz w:val="24"/>
          <w:szCs w:val="24"/>
          <w:lang w:val="ro-RO"/>
        </w:rPr>
        <w:t>la resursele umane</w:t>
      </w:r>
      <w:r w:rsidR="00412F4B" w:rsidRPr="00D72F84">
        <w:rPr>
          <w:rFonts w:ascii="Times New Roman" w:hAnsi="Times New Roman" w:cs="Times New Roman"/>
          <w:sz w:val="24"/>
          <w:szCs w:val="24"/>
          <w:lang w:val="ro-RO"/>
        </w:rPr>
        <w:t xml:space="preserve"> la zi, precum și cu aspectele constatate de experții internaționali raportat la starea sistemului judiciar, în cele ce urmează ne vom strădui să integrăm într-o analiză logică a ceea ce există în prezent și la ceea ce ar trebui să existe în Ministerul Public, la ceea ce Procurorul General al Parchetului de pe lângă Înalta Curte de Casație și Justiție este în măsură să îmbunătățească raportat la pârghiile pe care legea i le-a </w:t>
      </w:r>
      <w:r w:rsidR="00CF1D5A" w:rsidRPr="00D72F84">
        <w:rPr>
          <w:rFonts w:ascii="Times New Roman" w:hAnsi="Times New Roman" w:cs="Times New Roman"/>
          <w:sz w:val="24"/>
          <w:szCs w:val="24"/>
          <w:lang w:val="ro-RO"/>
        </w:rPr>
        <w:t>încredințat</w:t>
      </w:r>
      <w:r w:rsidR="00412F4B" w:rsidRPr="00D72F84">
        <w:rPr>
          <w:rFonts w:ascii="Times New Roman" w:hAnsi="Times New Roman" w:cs="Times New Roman"/>
          <w:sz w:val="24"/>
          <w:szCs w:val="24"/>
          <w:lang w:val="ro-RO"/>
        </w:rPr>
        <w:t xml:space="preserve">. </w:t>
      </w:r>
      <w:r w:rsidR="00CF1D5A" w:rsidRPr="00D72F84">
        <w:rPr>
          <w:rFonts w:ascii="Times New Roman" w:hAnsi="Times New Roman" w:cs="Times New Roman"/>
          <w:sz w:val="24"/>
          <w:szCs w:val="24"/>
          <w:lang w:val="ro-RO"/>
        </w:rPr>
        <w:t xml:space="preserve">De asemenea, analiza trebuie să fie  de natură să identifice atât nevoile sistemului, cât și instrumentele – existente sau care trebuie create – necesare </w:t>
      </w:r>
      <w:r w:rsidR="008B2619" w:rsidRPr="00D72F84">
        <w:rPr>
          <w:rFonts w:ascii="Times New Roman" w:hAnsi="Times New Roman" w:cs="Times New Roman"/>
          <w:sz w:val="24"/>
          <w:szCs w:val="24"/>
          <w:lang w:val="ro-RO"/>
        </w:rPr>
        <w:t>limitării sau înlăturării vulnerabilităților.</w:t>
      </w:r>
      <w:r w:rsidR="00767634">
        <w:rPr>
          <w:rFonts w:ascii="Times New Roman" w:hAnsi="Times New Roman" w:cs="Times New Roman"/>
          <w:sz w:val="24"/>
          <w:szCs w:val="24"/>
          <w:lang w:val="ro-RO"/>
        </w:rPr>
        <w:t xml:space="preserve"> </w:t>
      </w:r>
      <w:r w:rsidR="008B2619" w:rsidRPr="00D72F84">
        <w:rPr>
          <w:rFonts w:ascii="Times New Roman" w:hAnsi="Times New Roman" w:cs="Times New Roman"/>
          <w:sz w:val="24"/>
          <w:szCs w:val="24"/>
          <w:lang w:val="ro-RO"/>
        </w:rPr>
        <w:t xml:space="preserve">Altfel spus, analiza trebuie să </w:t>
      </w:r>
      <w:r w:rsidR="008B2619" w:rsidRPr="00D72F84">
        <w:rPr>
          <w:rFonts w:ascii="Times New Roman" w:eastAsia="Calibri" w:hAnsi="Times New Roman" w:cs="Times New Roman"/>
          <w:sz w:val="24"/>
          <w:szCs w:val="24"/>
          <w:lang w:val="ro-RO"/>
        </w:rPr>
        <w:t xml:space="preserve"> aibă in vedere probleme legate de logistică, resurse umane, dificultăți generate de competența excesivă sau </w:t>
      </w:r>
      <w:r w:rsidR="008B2619" w:rsidRPr="00D72F84">
        <w:rPr>
          <w:rFonts w:ascii="Times New Roman" w:eastAsia="Calibri" w:hAnsi="Times New Roman" w:cs="Times New Roman"/>
          <w:sz w:val="24"/>
          <w:szCs w:val="24"/>
          <w:lang w:val="ro-RO"/>
        </w:rPr>
        <w:lastRenderedPageBreak/>
        <w:t>insuficientă a unor structuri din cadrul Ministerului Public, probleme referitoare la urmărirea penală sau activitatea judiciară, vulnerabilități de ordin legislativ, raporturile intra</w:t>
      </w:r>
      <w:r w:rsidR="00767634">
        <w:rPr>
          <w:rFonts w:ascii="Times New Roman" w:eastAsia="Calibri" w:hAnsi="Times New Roman" w:cs="Times New Roman"/>
          <w:sz w:val="24"/>
          <w:szCs w:val="24"/>
          <w:lang w:val="ro-RO"/>
        </w:rPr>
        <w:t>-</w:t>
      </w:r>
      <w:r w:rsidR="008B2619" w:rsidRPr="00D72F84">
        <w:rPr>
          <w:rFonts w:ascii="Times New Roman" w:eastAsia="Calibri" w:hAnsi="Times New Roman" w:cs="Times New Roman"/>
          <w:sz w:val="24"/>
          <w:szCs w:val="24"/>
          <w:lang w:val="ro-RO"/>
        </w:rPr>
        <w:t xml:space="preserve">instituționale sau cu partenerii instituționali, etc.. Aceasta va trebui urmată de o altă analiză, mai laborioasă, asumată de Procurorul General ce va fi desemnat și care va avea </w:t>
      </w:r>
      <w:r w:rsidR="00767634">
        <w:rPr>
          <w:rFonts w:ascii="Times New Roman" w:eastAsia="Calibri" w:hAnsi="Times New Roman" w:cs="Times New Roman"/>
          <w:sz w:val="24"/>
          <w:szCs w:val="24"/>
          <w:lang w:val="ro-RO"/>
        </w:rPr>
        <w:t>î</w:t>
      </w:r>
      <w:r w:rsidR="008B2619" w:rsidRPr="00D72F84">
        <w:rPr>
          <w:rFonts w:ascii="Times New Roman" w:eastAsia="Calibri" w:hAnsi="Times New Roman" w:cs="Times New Roman"/>
          <w:sz w:val="24"/>
          <w:szCs w:val="24"/>
          <w:lang w:val="ro-RO"/>
        </w:rPr>
        <w:t>n vedere dosarele aflate în curs de soluționare, fie în faza de urmărire penală, fie în faza de judecată, cu privire la care au fost mediatizate reale sau pret</w:t>
      </w:r>
      <w:r w:rsidR="00767634">
        <w:rPr>
          <w:rFonts w:ascii="Times New Roman" w:eastAsia="Calibri" w:hAnsi="Times New Roman" w:cs="Times New Roman"/>
          <w:sz w:val="24"/>
          <w:szCs w:val="24"/>
          <w:lang w:val="ro-RO"/>
        </w:rPr>
        <w:t>i</w:t>
      </w:r>
      <w:r w:rsidR="008B2619" w:rsidRPr="00D72F84">
        <w:rPr>
          <w:rFonts w:ascii="Times New Roman" w:eastAsia="Calibri" w:hAnsi="Times New Roman" w:cs="Times New Roman"/>
          <w:sz w:val="24"/>
          <w:szCs w:val="24"/>
          <w:lang w:val="ro-RO"/>
        </w:rPr>
        <w:t>nse derapaje de la normă, în măsura în care astfel de situații sunt cunoscute de șefii de parchete.</w:t>
      </w:r>
      <w:r w:rsidR="00D72F84" w:rsidRPr="00D72F84">
        <w:rPr>
          <w:rFonts w:ascii="Times New Roman" w:eastAsia="Calibri" w:hAnsi="Times New Roman" w:cs="Times New Roman"/>
          <w:sz w:val="24"/>
          <w:szCs w:val="24"/>
          <w:lang w:val="ro-RO"/>
        </w:rPr>
        <w:t xml:space="preserve"> În egală măsură, în aceeași analiză va trebui să fie incluse dosarele soluționate prin rechizitoriu, în perioada iunie 2017 – prezent, în care judecătorul de cameră preliminară, prin hotărâre definitivă, a exclus probe administrate ori a sancționat potrivit art. 280-282 C.p.p. actele de urmărire penală efectuate cu încălcarea dispozițiilor legale care reglementează mandatele de supraveghere tehnică, perchezițiile domiciliare și corporale, mandatele de aducere.</w:t>
      </w:r>
    </w:p>
    <w:p w:rsidR="00D72F84" w:rsidRDefault="00D72F84" w:rsidP="0092694F">
      <w:pPr>
        <w:spacing w:after="0" w:line="36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sidRPr="00D72F84">
        <w:rPr>
          <w:rFonts w:ascii="Times New Roman" w:eastAsia="Calibri" w:hAnsi="Times New Roman" w:cs="Times New Roman"/>
          <w:sz w:val="24"/>
          <w:szCs w:val="24"/>
          <w:lang w:val="ro-RO"/>
        </w:rPr>
        <w:t xml:space="preserve">Aspectele identificate </w:t>
      </w:r>
      <w:r w:rsidR="0092694F">
        <w:rPr>
          <w:rFonts w:ascii="Times New Roman" w:eastAsia="Calibri" w:hAnsi="Times New Roman" w:cs="Times New Roman"/>
          <w:sz w:val="24"/>
          <w:szCs w:val="24"/>
          <w:lang w:val="ro-RO"/>
        </w:rPr>
        <w:t>ș</w:t>
      </w:r>
      <w:r w:rsidRPr="00D72F84">
        <w:rPr>
          <w:rFonts w:ascii="Times New Roman" w:eastAsia="Calibri" w:hAnsi="Times New Roman" w:cs="Times New Roman"/>
          <w:sz w:val="24"/>
          <w:szCs w:val="24"/>
          <w:lang w:val="ro-RO"/>
        </w:rPr>
        <w:t xml:space="preserve">i indicate </w:t>
      </w:r>
      <w:r w:rsidR="0092694F">
        <w:rPr>
          <w:rFonts w:ascii="Times New Roman" w:eastAsia="Calibri" w:hAnsi="Times New Roman" w:cs="Times New Roman"/>
          <w:sz w:val="24"/>
          <w:szCs w:val="24"/>
          <w:lang w:val="ro-RO"/>
        </w:rPr>
        <w:t>î</w:t>
      </w:r>
      <w:r w:rsidRPr="00D72F84">
        <w:rPr>
          <w:rFonts w:ascii="Times New Roman" w:eastAsia="Calibri" w:hAnsi="Times New Roman" w:cs="Times New Roman"/>
          <w:sz w:val="24"/>
          <w:szCs w:val="24"/>
          <w:lang w:val="ro-RO"/>
        </w:rPr>
        <w:t xml:space="preserve">n evaluările de riscuri si vulnerabilități pot fi clasificate </w:t>
      </w:r>
      <w:r w:rsidR="0092694F">
        <w:rPr>
          <w:rFonts w:ascii="Times New Roman" w:eastAsia="Calibri" w:hAnsi="Times New Roman" w:cs="Times New Roman"/>
          <w:sz w:val="24"/>
          <w:szCs w:val="24"/>
          <w:lang w:val="ro-RO"/>
        </w:rPr>
        <w:t>î</w:t>
      </w:r>
      <w:r w:rsidRPr="00D72F84">
        <w:rPr>
          <w:rFonts w:ascii="Times New Roman" w:eastAsia="Calibri" w:hAnsi="Times New Roman" w:cs="Times New Roman"/>
          <w:sz w:val="24"/>
          <w:szCs w:val="24"/>
          <w:lang w:val="ro-RO"/>
        </w:rPr>
        <w:t xml:space="preserve">n </w:t>
      </w:r>
      <w:r>
        <w:rPr>
          <w:rFonts w:ascii="Times New Roman" w:eastAsia="Calibri" w:hAnsi="Times New Roman" w:cs="Times New Roman"/>
          <w:sz w:val="24"/>
          <w:szCs w:val="24"/>
          <w:lang w:val="ro-RO"/>
        </w:rPr>
        <w:t>mai multe</w:t>
      </w:r>
      <w:r w:rsidRPr="00D72F84">
        <w:rPr>
          <w:rFonts w:ascii="Times New Roman" w:eastAsia="Calibri" w:hAnsi="Times New Roman" w:cs="Times New Roman"/>
          <w:sz w:val="24"/>
          <w:szCs w:val="24"/>
          <w:lang w:val="ro-RO"/>
        </w:rPr>
        <w:t xml:space="preserve"> categorii, după cum urmează:</w:t>
      </w:r>
    </w:p>
    <w:p w:rsidR="00D72F84" w:rsidRPr="00D72F84" w:rsidRDefault="00D72F84" w:rsidP="0092694F">
      <w:pPr>
        <w:numPr>
          <w:ilvl w:val="0"/>
          <w:numId w:val="9"/>
        </w:numPr>
        <w:spacing w:after="0" w:line="360" w:lineRule="auto"/>
        <w:rPr>
          <w:rFonts w:ascii="Times New Roman" w:eastAsia="Calibri" w:hAnsi="Times New Roman" w:cs="Times New Roman"/>
          <w:sz w:val="24"/>
          <w:szCs w:val="24"/>
          <w:lang w:val="ro-RO"/>
        </w:rPr>
      </w:pPr>
      <w:r w:rsidRPr="00D72F84">
        <w:rPr>
          <w:rFonts w:ascii="Times New Roman" w:eastAsia="Calibri" w:hAnsi="Times New Roman" w:cs="Times New Roman"/>
          <w:sz w:val="24"/>
          <w:szCs w:val="24"/>
          <w:lang w:val="ro-RO"/>
        </w:rPr>
        <w:t>Aspecte de abordare strategic</w:t>
      </w:r>
      <w:r w:rsidR="0092694F">
        <w:rPr>
          <w:rFonts w:ascii="Times New Roman" w:eastAsia="Calibri" w:hAnsi="Times New Roman" w:cs="Times New Roman"/>
          <w:sz w:val="24"/>
          <w:szCs w:val="24"/>
          <w:lang w:val="ro-RO"/>
        </w:rPr>
        <w:t>ă</w:t>
      </w:r>
      <w:r w:rsidRPr="00D72F84">
        <w:rPr>
          <w:rFonts w:ascii="Times New Roman" w:eastAsia="Calibri" w:hAnsi="Times New Roman" w:cs="Times New Roman"/>
          <w:sz w:val="24"/>
          <w:szCs w:val="24"/>
          <w:lang w:val="ro-RO"/>
        </w:rPr>
        <w:t xml:space="preserve">, la nivelul sistemului național, a combaterii </w:t>
      </w:r>
      <w:r w:rsidR="0092694F">
        <w:rPr>
          <w:rFonts w:ascii="Times New Roman" w:eastAsia="Calibri" w:hAnsi="Times New Roman" w:cs="Times New Roman"/>
          <w:sz w:val="24"/>
          <w:szCs w:val="24"/>
          <w:lang w:val="ro-RO"/>
        </w:rPr>
        <w:t>f</w:t>
      </w:r>
      <w:r w:rsidRPr="00D72F84">
        <w:rPr>
          <w:rFonts w:ascii="Times New Roman" w:eastAsia="Calibri" w:hAnsi="Times New Roman" w:cs="Times New Roman"/>
          <w:sz w:val="24"/>
          <w:szCs w:val="24"/>
          <w:lang w:val="ro-RO"/>
        </w:rPr>
        <w:t xml:space="preserve">enomenului </w:t>
      </w:r>
      <w:r>
        <w:rPr>
          <w:rFonts w:ascii="Times New Roman" w:eastAsia="Calibri" w:hAnsi="Times New Roman" w:cs="Times New Roman"/>
          <w:sz w:val="24"/>
          <w:szCs w:val="24"/>
          <w:lang w:val="ro-RO"/>
        </w:rPr>
        <w:t>infracțional</w:t>
      </w:r>
      <w:r w:rsidR="008736AA">
        <w:rPr>
          <w:rFonts w:ascii="Times New Roman" w:eastAsia="Calibri" w:hAnsi="Times New Roman" w:cs="Times New Roman"/>
          <w:sz w:val="24"/>
          <w:szCs w:val="24"/>
          <w:lang w:val="ro-RO"/>
        </w:rPr>
        <w:t>, predictibil sau nepredictibil</w:t>
      </w:r>
      <w:r w:rsidRPr="00D72F84">
        <w:rPr>
          <w:rFonts w:ascii="Times New Roman" w:eastAsia="Calibri" w:hAnsi="Times New Roman" w:cs="Times New Roman"/>
          <w:sz w:val="24"/>
          <w:szCs w:val="24"/>
          <w:lang w:val="ro-RO"/>
        </w:rPr>
        <w:t>;</w:t>
      </w:r>
    </w:p>
    <w:p w:rsidR="00D72F84" w:rsidRPr="00D72F84" w:rsidRDefault="00D72F84" w:rsidP="0092694F">
      <w:pPr>
        <w:numPr>
          <w:ilvl w:val="0"/>
          <w:numId w:val="9"/>
        </w:numPr>
        <w:spacing w:after="0" w:line="360" w:lineRule="auto"/>
        <w:jc w:val="both"/>
        <w:rPr>
          <w:rFonts w:ascii="Times New Roman" w:eastAsia="Calibri" w:hAnsi="Times New Roman" w:cs="Times New Roman"/>
          <w:sz w:val="24"/>
          <w:szCs w:val="24"/>
          <w:lang w:val="ro-RO"/>
        </w:rPr>
      </w:pPr>
      <w:r w:rsidRPr="00D72F84">
        <w:rPr>
          <w:rFonts w:ascii="Times New Roman" w:eastAsia="Calibri" w:hAnsi="Times New Roman" w:cs="Times New Roman"/>
          <w:sz w:val="24"/>
          <w:szCs w:val="24"/>
          <w:lang w:val="ro-RO"/>
        </w:rPr>
        <w:t>Chestiuni legislative</w:t>
      </w:r>
      <w:r w:rsidR="008736AA">
        <w:rPr>
          <w:rFonts w:ascii="Times New Roman" w:eastAsia="Calibri" w:hAnsi="Times New Roman" w:cs="Times New Roman"/>
          <w:sz w:val="24"/>
          <w:szCs w:val="24"/>
          <w:lang w:val="ro-RO"/>
        </w:rPr>
        <w:t>;</w:t>
      </w:r>
    </w:p>
    <w:p w:rsidR="00D72F84" w:rsidRPr="00D72F84" w:rsidRDefault="00D72F84" w:rsidP="0092694F">
      <w:pPr>
        <w:numPr>
          <w:ilvl w:val="0"/>
          <w:numId w:val="9"/>
        </w:numPr>
        <w:spacing w:after="0" w:line="360" w:lineRule="auto"/>
        <w:jc w:val="both"/>
        <w:rPr>
          <w:rFonts w:ascii="Times New Roman" w:eastAsia="Calibri" w:hAnsi="Times New Roman" w:cs="Times New Roman"/>
          <w:sz w:val="24"/>
          <w:szCs w:val="24"/>
          <w:lang w:val="ro-RO"/>
        </w:rPr>
      </w:pPr>
      <w:r w:rsidRPr="00D72F84">
        <w:rPr>
          <w:rFonts w:ascii="Times New Roman" w:eastAsia="Calibri" w:hAnsi="Times New Roman" w:cs="Times New Roman"/>
          <w:sz w:val="24"/>
          <w:szCs w:val="24"/>
          <w:lang w:val="ro-RO"/>
        </w:rPr>
        <w:t>Aspecte care țin de reglementările interne ale activității in cadrul Ministerului Public;</w:t>
      </w:r>
    </w:p>
    <w:p w:rsidR="00D72F84" w:rsidRPr="00D72F84" w:rsidRDefault="00D72F84" w:rsidP="0092694F">
      <w:pPr>
        <w:numPr>
          <w:ilvl w:val="0"/>
          <w:numId w:val="9"/>
        </w:numPr>
        <w:spacing w:after="0" w:line="360" w:lineRule="auto"/>
        <w:jc w:val="both"/>
        <w:rPr>
          <w:rFonts w:ascii="Times New Roman" w:eastAsia="Calibri" w:hAnsi="Times New Roman" w:cs="Times New Roman"/>
          <w:sz w:val="24"/>
          <w:szCs w:val="24"/>
          <w:lang w:val="ro-RO"/>
        </w:rPr>
      </w:pPr>
      <w:r w:rsidRPr="00D72F84">
        <w:rPr>
          <w:rFonts w:ascii="Times New Roman" w:eastAsia="Calibri" w:hAnsi="Times New Roman" w:cs="Times New Roman"/>
          <w:sz w:val="24"/>
          <w:szCs w:val="24"/>
          <w:lang w:val="ro-RO"/>
        </w:rPr>
        <w:t>Chestiuni cu privire la cooperarea inter-instituțional</w:t>
      </w:r>
      <w:r w:rsidR="0092694F">
        <w:rPr>
          <w:rFonts w:ascii="Times New Roman" w:eastAsia="Calibri" w:hAnsi="Times New Roman" w:cs="Times New Roman"/>
          <w:sz w:val="24"/>
          <w:szCs w:val="24"/>
          <w:lang w:val="ro-RO"/>
        </w:rPr>
        <w:t>ă</w:t>
      </w:r>
      <w:r w:rsidRPr="00D72F84">
        <w:rPr>
          <w:rFonts w:ascii="Times New Roman" w:eastAsia="Calibri" w:hAnsi="Times New Roman" w:cs="Times New Roman"/>
          <w:sz w:val="24"/>
          <w:szCs w:val="24"/>
          <w:lang w:val="ro-RO"/>
        </w:rPr>
        <w:t xml:space="preserve">/resurse polițienești </w:t>
      </w:r>
      <w:r w:rsidR="0092694F">
        <w:rPr>
          <w:rFonts w:ascii="Times New Roman" w:eastAsia="Calibri" w:hAnsi="Times New Roman" w:cs="Times New Roman"/>
          <w:sz w:val="24"/>
          <w:szCs w:val="24"/>
          <w:lang w:val="ro-RO"/>
        </w:rPr>
        <w:t>ș</w:t>
      </w:r>
      <w:r w:rsidRPr="00D72F84">
        <w:rPr>
          <w:rFonts w:ascii="Times New Roman" w:eastAsia="Calibri" w:hAnsi="Times New Roman" w:cs="Times New Roman"/>
          <w:sz w:val="24"/>
          <w:szCs w:val="24"/>
          <w:lang w:val="ro-RO"/>
        </w:rPr>
        <w:t>i contribuțiile furnizorilor de produse de informații prelucrate cu privire la activități infracționale</w:t>
      </w:r>
      <w:r>
        <w:rPr>
          <w:rFonts w:ascii="Times New Roman" w:eastAsia="Calibri" w:hAnsi="Times New Roman" w:cs="Times New Roman"/>
          <w:sz w:val="24"/>
          <w:szCs w:val="24"/>
          <w:lang w:val="ro-RO"/>
        </w:rPr>
        <w:t>;</w:t>
      </w:r>
    </w:p>
    <w:p w:rsidR="00D72F84" w:rsidRPr="00D72F84" w:rsidRDefault="00D72F84" w:rsidP="0092694F">
      <w:pPr>
        <w:numPr>
          <w:ilvl w:val="0"/>
          <w:numId w:val="9"/>
        </w:numPr>
        <w:spacing w:after="0" w:line="360" w:lineRule="auto"/>
        <w:jc w:val="both"/>
        <w:rPr>
          <w:rFonts w:ascii="Times New Roman" w:eastAsia="Calibri" w:hAnsi="Times New Roman" w:cs="Times New Roman"/>
          <w:sz w:val="24"/>
          <w:szCs w:val="24"/>
          <w:lang w:val="ro-RO"/>
        </w:rPr>
      </w:pPr>
      <w:r w:rsidRPr="00D72F84">
        <w:rPr>
          <w:rFonts w:ascii="Times New Roman" w:eastAsia="Calibri" w:hAnsi="Times New Roman" w:cs="Times New Roman"/>
          <w:sz w:val="24"/>
          <w:szCs w:val="24"/>
          <w:lang w:val="ro-RO"/>
        </w:rPr>
        <w:t>Resurse umane</w:t>
      </w:r>
      <w:r w:rsidR="00D27485">
        <w:rPr>
          <w:rFonts w:ascii="Times New Roman" w:eastAsia="Calibri" w:hAnsi="Times New Roman" w:cs="Times New Roman"/>
          <w:sz w:val="24"/>
          <w:szCs w:val="24"/>
          <w:lang w:val="ro-RO"/>
        </w:rPr>
        <w:t xml:space="preserve"> și volumul de muncă</w:t>
      </w:r>
      <w:r w:rsidR="008736AA">
        <w:rPr>
          <w:rFonts w:ascii="Times New Roman" w:eastAsia="Calibri" w:hAnsi="Times New Roman" w:cs="Times New Roman"/>
          <w:sz w:val="24"/>
          <w:szCs w:val="24"/>
          <w:lang w:val="ro-RO"/>
        </w:rPr>
        <w:t>;</w:t>
      </w:r>
    </w:p>
    <w:p w:rsidR="00D72F84" w:rsidRPr="00D72F84" w:rsidRDefault="00D72F84" w:rsidP="0092694F">
      <w:pPr>
        <w:numPr>
          <w:ilvl w:val="0"/>
          <w:numId w:val="9"/>
        </w:numPr>
        <w:spacing w:after="0" w:line="360" w:lineRule="auto"/>
        <w:jc w:val="both"/>
        <w:rPr>
          <w:rFonts w:ascii="Times New Roman" w:eastAsia="Calibri" w:hAnsi="Times New Roman" w:cs="Times New Roman"/>
          <w:sz w:val="24"/>
          <w:szCs w:val="24"/>
          <w:lang w:val="ro-RO"/>
        </w:rPr>
      </w:pPr>
      <w:r w:rsidRPr="00D72F84">
        <w:rPr>
          <w:rFonts w:ascii="Times New Roman" w:eastAsia="Calibri" w:hAnsi="Times New Roman" w:cs="Times New Roman"/>
          <w:sz w:val="24"/>
          <w:szCs w:val="24"/>
          <w:lang w:val="ro-RO"/>
        </w:rPr>
        <w:t xml:space="preserve">Chestiuni administrative </w:t>
      </w:r>
      <w:r w:rsidR="0092694F">
        <w:rPr>
          <w:rFonts w:ascii="Times New Roman" w:eastAsia="Calibri" w:hAnsi="Times New Roman" w:cs="Times New Roman"/>
          <w:sz w:val="24"/>
          <w:szCs w:val="24"/>
          <w:lang w:val="ro-RO"/>
        </w:rPr>
        <w:t>ș</w:t>
      </w:r>
      <w:r w:rsidRPr="00D72F84">
        <w:rPr>
          <w:rFonts w:ascii="Times New Roman" w:eastAsia="Calibri" w:hAnsi="Times New Roman" w:cs="Times New Roman"/>
          <w:sz w:val="24"/>
          <w:szCs w:val="24"/>
          <w:lang w:val="ro-RO"/>
        </w:rPr>
        <w:t>i logistice</w:t>
      </w:r>
      <w:r w:rsidR="008736AA">
        <w:rPr>
          <w:rFonts w:ascii="Times New Roman" w:eastAsia="Calibri" w:hAnsi="Times New Roman" w:cs="Times New Roman"/>
          <w:sz w:val="24"/>
          <w:szCs w:val="24"/>
          <w:lang w:val="ro-RO"/>
        </w:rPr>
        <w:t>,</w:t>
      </w:r>
      <w:r w:rsidRPr="00D72F84">
        <w:rPr>
          <w:rFonts w:ascii="Times New Roman" w:eastAsia="Calibri" w:hAnsi="Times New Roman" w:cs="Times New Roman"/>
          <w:sz w:val="24"/>
          <w:szCs w:val="24"/>
          <w:lang w:val="ro-RO"/>
        </w:rPr>
        <w:t xml:space="preserve"> buget</w:t>
      </w:r>
      <w:r w:rsidR="008736AA">
        <w:rPr>
          <w:rFonts w:ascii="Times New Roman" w:eastAsia="Calibri" w:hAnsi="Times New Roman" w:cs="Times New Roman"/>
          <w:sz w:val="24"/>
          <w:szCs w:val="24"/>
          <w:lang w:val="ro-RO"/>
        </w:rPr>
        <w:t>;</w:t>
      </w:r>
    </w:p>
    <w:p w:rsidR="00D72F84" w:rsidRPr="00D72F84" w:rsidRDefault="00D72F84" w:rsidP="0092694F">
      <w:pPr>
        <w:numPr>
          <w:ilvl w:val="0"/>
          <w:numId w:val="9"/>
        </w:numPr>
        <w:spacing w:after="0" w:line="360" w:lineRule="auto"/>
        <w:jc w:val="both"/>
        <w:rPr>
          <w:rFonts w:ascii="Times New Roman" w:eastAsia="Calibri" w:hAnsi="Times New Roman" w:cs="Times New Roman"/>
          <w:sz w:val="24"/>
          <w:szCs w:val="24"/>
          <w:lang w:val="ro-RO"/>
        </w:rPr>
      </w:pPr>
      <w:r w:rsidRPr="00D72F84">
        <w:rPr>
          <w:rFonts w:ascii="Times New Roman" w:eastAsia="Calibri" w:hAnsi="Times New Roman" w:cs="Times New Roman"/>
          <w:sz w:val="24"/>
          <w:szCs w:val="24"/>
          <w:lang w:val="ro-RO"/>
        </w:rPr>
        <w:t>Limite tehnologice ale instrumentelor curente</w:t>
      </w:r>
      <w:r w:rsidR="0092694F">
        <w:rPr>
          <w:rFonts w:ascii="Times New Roman" w:eastAsia="Calibri" w:hAnsi="Times New Roman" w:cs="Times New Roman"/>
          <w:sz w:val="24"/>
          <w:szCs w:val="24"/>
          <w:lang w:val="ro-RO"/>
        </w:rPr>
        <w:t>;</w:t>
      </w:r>
    </w:p>
    <w:p w:rsidR="00D72F84" w:rsidRPr="00D72F84" w:rsidRDefault="00D72F84" w:rsidP="0092694F">
      <w:pPr>
        <w:numPr>
          <w:ilvl w:val="0"/>
          <w:numId w:val="9"/>
        </w:numPr>
        <w:spacing w:after="0" w:line="360" w:lineRule="auto"/>
        <w:jc w:val="both"/>
        <w:rPr>
          <w:rFonts w:ascii="Times New Roman" w:eastAsia="Calibri" w:hAnsi="Times New Roman" w:cs="Times New Roman"/>
          <w:sz w:val="24"/>
          <w:szCs w:val="24"/>
          <w:lang w:val="ro-RO"/>
        </w:rPr>
      </w:pPr>
      <w:r w:rsidRPr="00D72F84">
        <w:rPr>
          <w:rFonts w:ascii="Times New Roman" w:eastAsia="Calibri" w:hAnsi="Times New Roman" w:cs="Times New Roman"/>
          <w:sz w:val="24"/>
          <w:szCs w:val="24"/>
          <w:lang w:val="ro-RO"/>
        </w:rPr>
        <w:t xml:space="preserve">Pregătire profesionala si asimilare „know-how” tactic </w:t>
      </w:r>
      <w:r w:rsidR="0092694F">
        <w:rPr>
          <w:rFonts w:ascii="Times New Roman" w:eastAsia="Calibri" w:hAnsi="Times New Roman" w:cs="Times New Roman"/>
          <w:sz w:val="24"/>
          <w:szCs w:val="24"/>
          <w:lang w:val="ro-RO"/>
        </w:rPr>
        <w:t>î</w:t>
      </w:r>
      <w:r w:rsidRPr="00D72F84">
        <w:rPr>
          <w:rFonts w:ascii="Times New Roman" w:eastAsia="Calibri" w:hAnsi="Times New Roman" w:cs="Times New Roman"/>
          <w:sz w:val="24"/>
          <w:szCs w:val="24"/>
          <w:lang w:val="ro-RO"/>
        </w:rPr>
        <w:t>n abordarea investiga</w:t>
      </w:r>
      <w:r w:rsidR="0092694F">
        <w:rPr>
          <w:rFonts w:ascii="Times New Roman" w:eastAsia="Calibri" w:hAnsi="Times New Roman" w:cs="Times New Roman"/>
          <w:sz w:val="24"/>
          <w:szCs w:val="24"/>
          <w:lang w:val="ro-RO"/>
        </w:rPr>
        <w:t>ț</w:t>
      </w:r>
      <w:r w:rsidRPr="00D72F84">
        <w:rPr>
          <w:rFonts w:ascii="Times New Roman" w:eastAsia="Calibri" w:hAnsi="Times New Roman" w:cs="Times New Roman"/>
          <w:sz w:val="24"/>
          <w:szCs w:val="24"/>
          <w:lang w:val="ro-RO"/>
        </w:rPr>
        <w:t>iilor.</w:t>
      </w:r>
    </w:p>
    <w:p w:rsidR="00D72F84" w:rsidRPr="00D72F84" w:rsidRDefault="00D72F84" w:rsidP="0092694F">
      <w:pPr>
        <w:numPr>
          <w:ilvl w:val="0"/>
          <w:numId w:val="9"/>
        </w:numPr>
        <w:spacing w:after="0" w:line="360" w:lineRule="auto"/>
        <w:jc w:val="both"/>
        <w:rPr>
          <w:rFonts w:ascii="Times New Roman" w:eastAsia="Calibri" w:hAnsi="Times New Roman" w:cs="Times New Roman"/>
          <w:sz w:val="24"/>
          <w:szCs w:val="24"/>
          <w:lang w:val="ro-RO"/>
        </w:rPr>
      </w:pPr>
      <w:r w:rsidRPr="00D72F84">
        <w:rPr>
          <w:rFonts w:ascii="Times New Roman" w:eastAsia="Calibri" w:hAnsi="Times New Roman" w:cs="Times New Roman"/>
          <w:sz w:val="24"/>
          <w:szCs w:val="24"/>
          <w:lang w:val="ro-RO"/>
        </w:rPr>
        <w:t>Protecția insuficienta a procurorilor (imagine public</w:t>
      </w:r>
      <w:r w:rsidR="0092694F">
        <w:rPr>
          <w:rFonts w:ascii="Times New Roman" w:eastAsia="Calibri" w:hAnsi="Times New Roman" w:cs="Times New Roman"/>
          <w:sz w:val="24"/>
          <w:szCs w:val="24"/>
          <w:lang w:val="ro-RO"/>
        </w:rPr>
        <w:t>ă</w:t>
      </w:r>
      <w:r w:rsidRPr="00D72F84">
        <w:rPr>
          <w:rFonts w:ascii="Times New Roman" w:eastAsia="Calibri" w:hAnsi="Times New Roman" w:cs="Times New Roman"/>
          <w:sz w:val="24"/>
          <w:szCs w:val="24"/>
          <w:lang w:val="ro-RO"/>
        </w:rPr>
        <w:t>, decredibilizare institu</w:t>
      </w:r>
      <w:r w:rsidR="0092694F">
        <w:rPr>
          <w:rFonts w:ascii="Times New Roman" w:eastAsia="Calibri" w:hAnsi="Times New Roman" w:cs="Times New Roman"/>
          <w:sz w:val="24"/>
          <w:szCs w:val="24"/>
          <w:lang w:val="ro-RO"/>
        </w:rPr>
        <w:t>ț</w:t>
      </w:r>
      <w:r w:rsidRPr="00D72F84">
        <w:rPr>
          <w:rFonts w:ascii="Times New Roman" w:eastAsia="Calibri" w:hAnsi="Times New Roman" w:cs="Times New Roman"/>
          <w:sz w:val="24"/>
          <w:szCs w:val="24"/>
          <w:lang w:val="ro-RO"/>
        </w:rPr>
        <w:t>ional</w:t>
      </w:r>
      <w:r w:rsidR="0092694F">
        <w:rPr>
          <w:rFonts w:ascii="Times New Roman" w:eastAsia="Calibri" w:hAnsi="Times New Roman" w:cs="Times New Roman"/>
          <w:sz w:val="24"/>
          <w:szCs w:val="24"/>
          <w:lang w:val="ro-RO"/>
        </w:rPr>
        <w:t>ă</w:t>
      </w:r>
      <w:r w:rsidRPr="00D72F84">
        <w:rPr>
          <w:rFonts w:ascii="Times New Roman" w:eastAsia="Calibri" w:hAnsi="Times New Roman" w:cs="Times New Roman"/>
          <w:sz w:val="24"/>
          <w:szCs w:val="24"/>
          <w:lang w:val="ro-RO"/>
        </w:rPr>
        <w:t>, abuzuri de drept la adresa procurorilor)</w:t>
      </w:r>
    </w:p>
    <w:p w:rsidR="00D72F84" w:rsidRPr="00D72F84" w:rsidRDefault="00BB1DAE" w:rsidP="0092694F">
      <w:pPr>
        <w:numPr>
          <w:ilvl w:val="0"/>
          <w:numId w:val="9"/>
        </w:numPr>
        <w:spacing w:after="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Alte vulnerabilități identificate.</w:t>
      </w:r>
    </w:p>
    <w:p w:rsidR="00D72F84" w:rsidRPr="00D72F84" w:rsidRDefault="00D72F84" w:rsidP="00D72F84">
      <w:pPr>
        <w:jc w:val="both"/>
        <w:rPr>
          <w:rFonts w:ascii="Times New Roman" w:eastAsia="Calibri" w:hAnsi="Times New Roman" w:cs="Times New Roman"/>
          <w:sz w:val="24"/>
          <w:szCs w:val="24"/>
          <w:lang w:val="ro-RO"/>
        </w:rPr>
      </w:pPr>
    </w:p>
    <w:p w:rsidR="00D72F84" w:rsidRDefault="008736AA" w:rsidP="008736AA">
      <w:pPr>
        <w:spacing w:after="0" w:line="360" w:lineRule="auto"/>
        <w:ind w:firstLine="720"/>
        <w:jc w:val="both"/>
        <w:rPr>
          <w:rFonts w:ascii="Times New Roman" w:eastAsia="Calibri" w:hAnsi="Times New Roman" w:cs="Times New Roman"/>
          <w:sz w:val="24"/>
          <w:szCs w:val="24"/>
          <w:lang w:val="ro-RO"/>
        </w:rPr>
      </w:pPr>
      <w:r w:rsidRPr="008736AA">
        <w:rPr>
          <w:rFonts w:ascii="Times New Roman" w:eastAsia="Calibri" w:hAnsi="Times New Roman" w:cs="Times New Roman"/>
          <w:sz w:val="24"/>
          <w:szCs w:val="24"/>
          <w:lang w:val="ro-RO"/>
        </w:rPr>
        <w:t>1.</w:t>
      </w:r>
      <w:r>
        <w:rPr>
          <w:rFonts w:ascii="Times New Roman" w:eastAsia="Calibri" w:hAnsi="Times New Roman" w:cs="Times New Roman"/>
          <w:sz w:val="24"/>
          <w:szCs w:val="24"/>
          <w:lang w:val="ro-RO"/>
        </w:rPr>
        <w:t xml:space="preserve"> Managementul poliției și parchetelor s-a axat până în prezent pe o abordare reactivă a sistemului la provocările infracționale, fie c</w:t>
      </w:r>
      <w:r w:rsidR="0092694F">
        <w:rPr>
          <w:rFonts w:ascii="Times New Roman" w:eastAsia="Calibri" w:hAnsi="Times New Roman" w:cs="Times New Roman"/>
          <w:sz w:val="24"/>
          <w:szCs w:val="24"/>
          <w:lang w:val="ro-RO"/>
        </w:rPr>
        <w:t>ă</w:t>
      </w:r>
      <w:r>
        <w:rPr>
          <w:rFonts w:ascii="Times New Roman" w:eastAsia="Calibri" w:hAnsi="Times New Roman" w:cs="Times New Roman"/>
          <w:sz w:val="24"/>
          <w:szCs w:val="24"/>
          <w:lang w:val="ro-RO"/>
        </w:rPr>
        <w:t xml:space="preserve"> acestea se refereau la corupție, la criminalitate organizată, criminalitate economico-financiară</w:t>
      </w:r>
      <w:r w:rsidR="0092694F">
        <w:rPr>
          <w:rFonts w:ascii="Times New Roman" w:eastAsia="Calibri" w:hAnsi="Times New Roman" w:cs="Times New Roman"/>
          <w:sz w:val="24"/>
          <w:szCs w:val="24"/>
          <w:lang w:val="ro-RO"/>
        </w:rPr>
        <w:t>, fie</w:t>
      </w:r>
      <w:r>
        <w:rPr>
          <w:rFonts w:ascii="Times New Roman" w:eastAsia="Calibri" w:hAnsi="Times New Roman" w:cs="Times New Roman"/>
          <w:sz w:val="24"/>
          <w:szCs w:val="24"/>
          <w:lang w:val="ro-RO"/>
        </w:rPr>
        <w:t xml:space="preserve"> la alte forme de criminalitate. Cu toate acestea, ultimii ani au impus necesitatea creării unui cadru care să genereze o analiză națională de riscuri și amenințări referitoare la tot ceea ce înseamnă risc și amenințare infracțională de orice fel. Manualele UNODC</w:t>
      </w:r>
      <w:r w:rsidR="00A70C96">
        <w:rPr>
          <w:rFonts w:ascii="Times New Roman" w:eastAsia="Calibri" w:hAnsi="Times New Roman" w:cs="Times New Roman"/>
          <w:sz w:val="24"/>
          <w:szCs w:val="24"/>
          <w:lang w:val="ro-RO"/>
        </w:rPr>
        <w:t xml:space="preserve"> (</w:t>
      </w:r>
      <w:r w:rsidR="00A70C96" w:rsidRPr="00A70C96">
        <w:rPr>
          <w:rFonts w:ascii="Times New Roman" w:eastAsia="Calibri" w:hAnsi="Times New Roman" w:cs="Times New Roman"/>
          <w:sz w:val="24"/>
          <w:szCs w:val="24"/>
        </w:rPr>
        <w:t>United Nations Office on Drugs and Crime</w:t>
      </w:r>
      <w:r w:rsidR="00A70C96">
        <w:rPr>
          <w:rFonts w:ascii="Times New Roman" w:eastAsia="Calibri" w:hAnsi="Times New Roman" w:cs="Times New Roman"/>
          <w:sz w:val="24"/>
          <w:szCs w:val="24"/>
        </w:rPr>
        <w:t>)</w:t>
      </w:r>
      <w:r>
        <w:rPr>
          <w:rFonts w:ascii="Times New Roman" w:eastAsia="Calibri" w:hAnsi="Times New Roman" w:cs="Times New Roman"/>
          <w:sz w:val="24"/>
          <w:szCs w:val="24"/>
          <w:lang w:val="ro-RO"/>
        </w:rPr>
        <w:t xml:space="preserve"> precum și analize</w:t>
      </w:r>
      <w:r w:rsidR="00A70C96">
        <w:rPr>
          <w:rFonts w:ascii="Times New Roman" w:eastAsia="Calibri" w:hAnsi="Times New Roman" w:cs="Times New Roman"/>
          <w:sz w:val="24"/>
          <w:szCs w:val="24"/>
          <w:lang w:val="ro-RO"/>
        </w:rPr>
        <w:t>le</w:t>
      </w:r>
      <w:r>
        <w:rPr>
          <w:rFonts w:ascii="Times New Roman" w:eastAsia="Calibri" w:hAnsi="Times New Roman" w:cs="Times New Roman"/>
          <w:sz w:val="24"/>
          <w:szCs w:val="24"/>
          <w:lang w:val="ro-RO"/>
        </w:rPr>
        <w:t xml:space="preserve"> create de state puternic dezvoltate pe această componentă, precum Olanda sau Regatul Unit</w:t>
      </w:r>
      <w:r w:rsidR="00155792">
        <w:rPr>
          <w:rFonts w:ascii="Times New Roman" w:eastAsia="Calibri" w:hAnsi="Times New Roman" w:cs="Times New Roman"/>
          <w:sz w:val="24"/>
          <w:szCs w:val="24"/>
          <w:lang w:val="ro-RO"/>
        </w:rPr>
        <w:t xml:space="preserve"> au demonstrat </w:t>
      </w:r>
      <w:r w:rsidR="00155792">
        <w:rPr>
          <w:rFonts w:ascii="Times New Roman" w:eastAsia="Calibri" w:hAnsi="Times New Roman" w:cs="Times New Roman"/>
          <w:sz w:val="24"/>
          <w:szCs w:val="24"/>
          <w:lang w:val="ro-RO"/>
        </w:rPr>
        <w:lastRenderedPageBreak/>
        <w:t>că o analiză solidă a cauzelor care generează infracționalitate, a studiului amenințărilor cu care se confruntă un sistem național pe o perioadă dată, coroborată cu necesitatea alocării de resurse, nu doar că dă un răspuns mai puternic fenomenului, dar alocarea de resurse va fi făcută mai eficient, iar celelalte resurse vor fi economisite. Criminalitatea organizată, ca parte a fenomenului infracțional, nu mai îmbracă astăzi aceleași forme care existau acum 20 de ani. Astfel, t</w:t>
      </w:r>
      <w:r w:rsidR="0092694F">
        <w:rPr>
          <w:rFonts w:ascii="Times New Roman" w:eastAsia="Calibri" w:hAnsi="Times New Roman" w:cs="Times New Roman"/>
          <w:sz w:val="24"/>
          <w:szCs w:val="24"/>
          <w:lang w:val="ro-RO"/>
        </w:rPr>
        <w:t>ă</w:t>
      </w:r>
      <w:r w:rsidR="00155792">
        <w:rPr>
          <w:rFonts w:ascii="Times New Roman" w:eastAsia="Calibri" w:hAnsi="Times New Roman" w:cs="Times New Roman"/>
          <w:sz w:val="24"/>
          <w:szCs w:val="24"/>
          <w:lang w:val="ro-RO"/>
        </w:rPr>
        <w:t xml:space="preserve">ierile de arbori, furturile din site-uri protejate, furturile de petrol, traficul de bani-cash din </w:t>
      </w:r>
      <w:r w:rsidR="0092694F">
        <w:rPr>
          <w:rFonts w:ascii="Times New Roman" w:eastAsia="Calibri" w:hAnsi="Times New Roman" w:cs="Times New Roman"/>
          <w:sz w:val="24"/>
          <w:szCs w:val="24"/>
          <w:lang w:val="ro-RO"/>
        </w:rPr>
        <w:t>ț</w:t>
      </w:r>
      <w:r w:rsidR="00155792">
        <w:rPr>
          <w:rFonts w:ascii="Times New Roman" w:eastAsia="Calibri" w:hAnsi="Times New Roman" w:cs="Times New Roman"/>
          <w:sz w:val="24"/>
          <w:szCs w:val="24"/>
          <w:lang w:val="ro-RO"/>
        </w:rPr>
        <w:t xml:space="preserve">ări ale fostei Uniuni Sovietice, monopolul din sistemul energetic, chiar braconajul de pe arii protejate care duce la dispariția de specii endemice sunt tot atâtea forme noi de criminalitate organizată, care însă nu se regăsește în competența materială a structurii specializate. Pe de altă parte, nici DIICOT nu beneficiază astăzi de avantajele pe care le-ar avea cu o analiză națională de risc. În același sens, neavând o astfel de analiză, nu poate exista nici </w:t>
      </w:r>
      <w:r w:rsidR="00904909">
        <w:rPr>
          <w:rFonts w:ascii="Times New Roman" w:eastAsia="Calibri" w:hAnsi="Times New Roman" w:cs="Times New Roman"/>
          <w:sz w:val="24"/>
          <w:szCs w:val="24"/>
          <w:lang w:val="ro-RO"/>
        </w:rPr>
        <w:t>o strategie națională generală sau specializată, astfel încât</w:t>
      </w:r>
      <w:r w:rsidR="0056347E">
        <w:rPr>
          <w:rFonts w:ascii="Times New Roman" w:eastAsia="Calibri" w:hAnsi="Times New Roman" w:cs="Times New Roman"/>
          <w:sz w:val="24"/>
          <w:szCs w:val="24"/>
          <w:lang w:val="ro-RO"/>
        </w:rPr>
        <w:t>,</w:t>
      </w:r>
      <w:r w:rsidR="00904909">
        <w:rPr>
          <w:rFonts w:ascii="Times New Roman" w:eastAsia="Calibri" w:hAnsi="Times New Roman" w:cs="Times New Roman"/>
          <w:sz w:val="24"/>
          <w:szCs w:val="24"/>
          <w:lang w:val="ro-RO"/>
        </w:rPr>
        <w:t xml:space="preserve"> în România anului 2019, în interiorul UE, organele de urmărire penală lucreaz</w:t>
      </w:r>
      <w:r w:rsidR="0092694F">
        <w:rPr>
          <w:rFonts w:ascii="Times New Roman" w:eastAsia="Calibri" w:hAnsi="Times New Roman" w:cs="Times New Roman"/>
          <w:sz w:val="24"/>
          <w:szCs w:val="24"/>
          <w:lang w:val="ro-RO"/>
        </w:rPr>
        <w:t>ă</w:t>
      </w:r>
      <w:r w:rsidR="00904909">
        <w:rPr>
          <w:rFonts w:ascii="Times New Roman" w:eastAsia="Calibri" w:hAnsi="Times New Roman" w:cs="Times New Roman"/>
          <w:sz w:val="24"/>
          <w:szCs w:val="24"/>
          <w:lang w:val="ro-RO"/>
        </w:rPr>
        <w:t xml:space="preserve"> în același sistem reactiv ca în urmă cu 30 de ani, chiar dacă fenomenul infracțional este mult mai larg și mult mai diversificat. </w:t>
      </w:r>
    </w:p>
    <w:p w:rsidR="00904909" w:rsidRDefault="00904909" w:rsidP="008736AA">
      <w:pPr>
        <w:spacing w:after="0" w:line="36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 altă vulnerabilitate, creată înainte de integrare</w:t>
      </w:r>
      <w:r w:rsidR="0056347E">
        <w:rPr>
          <w:rFonts w:ascii="Times New Roman" w:eastAsia="Calibri" w:hAnsi="Times New Roman" w:cs="Times New Roman"/>
          <w:sz w:val="24"/>
          <w:szCs w:val="24"/>
          <w:lang w:val="ro-RO"/>
        </w:rPr>
        <w:t>a</w:t>
      </w:r>
      <w:r>
        <w:rPr>
          <w:rFonts w:ascii="Times New Roman" w:eastAsia="Calibri" w:hAnsi="Times New Roman" w:cs="Times New Roman"/>
          <w:sz w:val="24"/>
          <w:szCs w:val="24"/>
          <w:lang w:val="ro-RO"/>
        </w:rPr>
        <w:t xml:space="preserve"> în UE, întreținută și acutizată în ultimii 3 ani</w:t>
      </w:r>
      <w:r w:rsidR="0056347E">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se referă la g</w:t>
      </w:r>
      <w:r w:rsidRPr="00904909">
        <w:rPr>
          <w:rFonts w:ascii="Times New Roman" w:eastAsia="Calibri" w:hAnsi="Times New Roman" w:cs="Times New Roman"/>
          <w:sz w:val="24"/>
          <w:szCs w:val="24"/>
          <w:lang w:val="ro-RO"/>
        </w:rPr>
        <w:t xml:space="preserve">rave confuzii </w:t>
      </w:r>
      <w:r w:rsidR="0056347E">
        <w:rPr>
          <w:rFonts w:ascii="Times New Roman" w:eastAsia="Calibri" w:hAnsi="Times New Roman" w:cs="Times New Roman"/>
          <w:sz w:val="24"/>
          <w:szCs w:val="24"/>
          <w:lang w:val="ro-RO"/>
        </w:rPr>
        <w:t>î</w:t>
      </w:r>
      <w:r w:rsidRPr="00904909">
        <w:rPr>
          <w:rFonts w:ascii="Times New Roman" w:eastAsia="Calibri" w:hAnsi="Times New Roman" w:cs="Times New Roman"/>
          <w:sz w:val="24"/>
          <w:szCs w:val="24"/>
          <w:lang w:val="ro-RO"/>
        </w:rPr>
        <w:t>n rândul practicienilor, generate de inconsisten</w:t>
      </w:r>
      <w:r w:rsidR="0056347E">
        <w:rPr>
          <w:rFonts w:ascii="Times New Roman" w:eastAsia="Calibri" w:hAnsi="Times New Roman" w:cs="Times New Roman"/>
          <w:sz w:val="24"/>
          <w:szCs w:val="24"/>
          <w:lang w:val="ro-RO"/>
        </w:rPr>
        <w:t>ț</w:t>
      </w:r>
      <w:r w:rsidRPr="00904909">
        <w:rPr>
          <w:rFonts w:ascii="Times New Roman" w:eastAsia="Calibri" w:hAnsi="Times New Roman" w:cs="Times New Roman"/>
          <w:sz w:val="24"/>
          <w:szCs w:val="24"/>
          <w:lang w:val="ro-RO"/>
        </w:rPr>
        <w:t>a documentelor normative de ref</w:t>
      </w:r>
      <w:r>
        <w:rPr>
          <w:rFonts w:ascii="Times New Roman" w:eastAsia="Calibri" w:hAnsi="Times New Roman" w:cs="Times New Roman"/>
          <w:sz w:val="24"/>
          <w:szCs w:val="24"/>
          <w:lang w:val="ro-RO"/>
        </w:rPr>
        <w:t>erinț</w:t>
      </w:r>
      <w:r w:rsidR="0056347E">
        <w:rPr>
          <w:rFonts w:ascii="Times New Roman" w:eastAsia="Calibri" w:hAnsi="Times New Roman" w:cs="Times New Roman"/>
          <w:sz w:val="24"/>
          <w:szCs w:val="24"/>
          <w:lang w:val="ro-RO"/>
        </w:rPr>
        <w:t>ă ș</w:t>
      </w:r>
      <w:r>
        <w:rPr>
          <w:rFonts w:ascii="Times New Roman" w:eastAsia="Calibri" w:hAnsi="Times New Roman" w:cs="Times New Roman"/>
          <w:sz w:val="24"/>
          <w:szCs w:val="24"/>
          <w:lang w:val="ro-RO"/>
        </w:rPr>
        <w:t>i a modului concret de împărțire</w:t>
      </w:r>
      <w:r w:rsidRPr="00904909">
        <w:rPr>
          <w:rFonts w:ascii="Times New Roman" w:eastAsia="Calibri" w:hAnsi="Times New Roman" w:cs="Times New Roman"/>
          <w:sz w:val="24"/>
          <w:szCs w:val="24"/>
          <w:lang w:val="ro-RO"/>
        </w:rPr>
        <w:t xml:space="preserve"> a sarcinilor de către </w:t>
      </w:r>
      <w:r>
        <w:rPr>
          <w:rFonts w:ascii="Times New Roman" w:eastAsia="Calibri" w:hAnsi="Times New Roman" w:cs="Times New Roman"/>
          <w:sz w:val="24"/>
          <w:szCs w:val="24"/>
          <w:lang w:val="ro-RO"/>
        </w:rPr>
        <w:t xml:space="preserve">poliție și/sau </w:t>
      </w:r>
      <w:r w:rsidRPr="00904909">
        <w:rPr>
          <w:rFonts w:ascii="Times New Roman" w:eastAsia="Calibri" w:hAnsi="Times New Roman" w:cs="Times New Roman"/>
          <w:sz w:val="24"/>
          <w:szCs w:val="24"/>
          <w:lang w:val="ro-RO"/>
        </w:rPr>
        <w:t xml:space="preserve">structurile specializate, cu privire la întinderea zonelor de interes informativ </w:t>
      </w:r>
      <w:r w:rsidR="0056347E">
        <w:rPr>
          <w:rFonts w:ascii="Times New Roman" w:eastAsia="Calibri" w:hAnsi="Times New Roman" w:cs="Times New Roman"/>
          <w:sz w:val="24"/>
          <w:szCs w:val="24"/>
          <w:lang w:val="ro-RO"/>
        </w:rPr>
        <w:t>ș</w:t>
      </w:r>
      <w:r w:rsidRPr="00904909">
        <w:rPr>
          <w:rFonts w:ascii="Times New Roman" w:eastAsia="Calibri" w:hAnsi="Times New Roman" w:cs="Times New Roman"/>
          <w:sz w:val="24"/>
          <w:szCs w:val="24"/>
          <w:lang w:val="ro-RO"/>
        </w:rPr>
        <w:t xml:space="preserve">i a rolului structurilor specializate </w:t>
      </w:r>
      <w:r w:rsidR="0056347E">
        <w:rPr>
          <w:rFonts w:ascii="Times New Roman" w:eastAsia="Calibri" w:hAnsi="Times New Roman" w:cs="Times New Roman"/>
          <w:sz w:val="24"/>
          <w:szCs w:val="24"/>
          <w:lang w:val="ro-RO"/>
        </w:rPr>
        <w:t>î</w:t>
      </w:r>
      <w:r w:rsidRPr="00904909">
        <w:rPr>
          <w:rFonts w:ascii="Times New Roman" w:eastAsia="Calibri" w:hAnsi="Times New Roman" w:cs="Times New Roman"/>
          <w:sz w:val="24"/>
          <w:szCs w:val="24"/>
          <w:lang w:val="ro-RO"/>
        </w:rPr>
        <w:t>n culeger</w:t>
      </w:r>
      <w:r>
        <w:rPr>
          <w:rFonts w:ascii="Times New Roman" w:eastAsia="Calibri" w:hAnsi="Times New Roman" w:cs="Times New Roman"/>
          <w:sz w:val="24"/>
          <w:szCs w:val="24"/>
          <w:lang w:val="ro-RO"/>
        </w:rPr>
        <w:t xml:space="preserve">ea </w:t>
      </w:r>
      <w:r w:rsidR="0056347E">
        <w:rPr>
          <w:rFonts w:ascii="Times New Roman" w:eastAsia="Calibri" w:hAnsi="Times New Roman" w:cs="Times New Roman"/>
          <w:sz w:val="24"/>
          <w:szCs w:val="24"/>
          <w:lang w:val="ro-RO"/>
        </w:rPr>
        <w:t>ș</w:t>
      </w:r>
      <w:r>
        <w:rPr>
          <w:rFonts w:ascii="Times New Roman" w:eastAsia="Calibri" w:hAnsi="Times New Roman" w:cs="Times New Roman"/>
          <w:sz w:val="24"/>
          <w:szCs w:val="24"/>
          <w:lang w:val="ro-RO"/>
        </w:rPr>
        <w:t>i prelucrarea informațiilor în cazuri speciale sau nu.</w:t>
      </w:r>
    </w:p>
    <w:p w:rsidR="00904909" w:rsidRDefault="00904909" w:rsidP="008736AA">
      <w:pPr>
        <w:spacing w:after="0" w:line="36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2. În ceea ce privește modificările legislative, </w:t>
      </w:r>
      <w:r w:rsidR="00D27485">
        <w:rPr>
          <w:rFonts w:ascii="Times New Roman" w:eastAsia="Calibri" w:hAnsi="Times New Roman" w:cs="Times New Roman"/>
          <w:sz w:val="24"/>
          <w:szCs w:val="24"/>
          <w:lang w:val="ro-RO"/>
        </w:rPr>
        <w:t>trebuie menționat că modificările legislative importante au pornit cu modificarea codului penal și a celui de procedură penală, intrate în v</w:t>
      </w:r>
      <w:r w:rsidR="0056347E">
        <w:rPr>
          <w:rFonts w:ascii="Times New Roman" w:eastAsia="Calibri" w:hAnsi="Times New Roman" w:cs="Times New Roman"/>
          <w:sz w:val="24"/>
          <w:szCs w:val="24"/>
          <w:lang w:val="ro-RO"/>
        </w:rPr>
        <w:t>i</w:t>
      </w:r>
      <w:r w:rsidR="00D27485">
        <w:rPr>
          <w:rFonts w:ascii="Times New Roman" w:eastAsia="Calibri" w:hAnsi="Times New Roman" w:cs="Times New Roman"/>
          <w:sz w:val="24"/>
          <w:szCs w:val="24"/>
          <w:lang w:val="ro-RO"/>
        </w:rPr>
        <w:t>goare în luna februarie 2014. Chiar dacă se aflau în d</w:t>
      </w:r>
      <w:r w:rsidR="0056347E">
        <w:rPr>
          <w:rFonts w:ascii="Times New Roman" w:eastAsia="Calibri" w:hAnsi="Times New Roman" w:cs="Times New Roman"/>
          <w:sz w:val="24"/>
          <w:szCs w:val="24"/>
          <w:lang w:val="ro-RO"/>
        </w:rPr>
        <w:t>is</w:t>
      </w:r>
      <w:r w:rsidR="00D27485">
        <w:rPr>
          <w:rFonts w:ascii="Times New Roman" w:eastAsia="Calibri" w:hAnsi="Times New Roman" w:cs="Times New Roman"/>
          <w:sz w:val="24"/>
          <w:szCs w:val="24"/>
          <w:lang w:val="ro-RO"/>
        </w:rPr>
        <w:t>cuții publice de mai mulți ani, codurile au suferit modificări succesive inclusiv în acea perioadă, ultima modificare fiind făcută cu două zile înainte de intrarea în vigoare. Au urmat câteva zeci de decizii ale Curții Constituționale care au constatat neconstitu</w:t>
      </w:r>
      <w:r w:rsidR="0056347E">
        <w:rPr>
          <w:rFonts w:ascii="Times New Roman" w:eastAsia="Calibri" w:hAnsi="Times New Roman" w:cs="Times New Roman"/>
          <w:sz w:val="24"/>
          <w:szCs w:val="24"/>
          <w:lang w:val="ro-RO"/>
        </w:rPr>
        <w:t>ț</w:t>
      </w:r>
      <w:r w:rsidR="00D27485">
        <w:rPr>
          <w:rFonts w:ascii="Times New Roman" w:eastAsia="Calibri" w:hAnsi="Times New Roman" w:cs="Times New Roman"/>
          <w:sz w:val="24"/>
          <w:szCs w:val="24"/>
          <w:lang w:val="ro-RO"/>
        </w:rPr>
        <w:t>ionalitatea mai multor articole din cele două coduri, urmate de două ordonanțe de urgență (6/2016, respectiv 18/2016) care conțin modificări de substanță ale unor instituții procesuale și așa nou-intrate în legislația penală românească. La acestea s-au adăugat modificările legilor justiției, pentru care a fost începută consultarea adunărilor generale ale magistraților încă din anul 2015. La fel, legile au suferit mai multe modificări pe parcursul a trei ani, în vara anului trecut fiind votate în Parlame</w:t>
      </w:r>
      <w:r w:rsidR="0056347E">
        <w:rPr>
          <w:rFonts w:ascii="Times New Roman" w:eastAsia="Calibri" w:hAnsi="Times New Roman" w:cs="Times New Roman"/>
          <w:sz w:val="24"/>
          <w:szCs w:val="24"/>
          <w:lang w:val="ro-RO"/>
        </w:rPr>
        <w:t>n</w:t>
      </w:r>
      <w:r w:rsidR="00D27485">
        <w:rPr>
          <w:rFonts w:ascii="Times New Roman" w:eastAsia="Calibri" w:hAnsi="Times New Roman" w:cs="Times New Roman"/>
          <w:sz w:val="24"/>
          <w:szCs w:val="24"/>
          <w:lang w:val="ro-RO"/>
        </w:rPr>
        <w:t>t</w:t>
      </w:r>
      <w:r w:rsidR="0056347E">
        <w:rPr>
          <w:rFonts w:ascii="Times New Roman" w:eastAsia="Calibri" w:hAnsi="Times New Roman" w:cs="Times New Roman"/>
          <w:sz w:val="24"/>
          <w:szCs w:val="24"/>
          <w:lang w:val="ro-RO"/>
        </w:rPr>
        <w:t>,</w:t>
      </w:r>
      <w:r w:rsidR="00D27485">
        <w:rPr>
          <w:rFonts w:ascii="Times New Roman" w:eastAsia="Calibri" w:hAnsi="Times New Roman" w:cs="Times New Roman"/>
          <w:sz w:val="24"/>
          <w:szCs w:val="24"/>
          <w:lang w:val="ro-RO"/>
        </w:rPr>
        <w:t xml:space="preserve"> în ciuda opoziției CSM și a celei mai largi categorii de magistrați. Legile justiției au atras critici severe ale Comisiei Europene prin raportul MCV 2018, prin observațiile Comisiei de la Veneția și prin raportul GRECO. </w:t>
      </w:r>
      <w:r w:rsidR="00DF23F0">
        <w:rPr>
          <w:rFonts w:ascii="Times New Roman" w:eastAsia="Calibri" w:hAnsi="Times New Roman" w:cs="Times New Roman"/>
          <w:sz w:val="24"/>
          <w:szCs w:val="24"/>
          <w:lang w:val="ro-RO"/>
        </w:rPr>
        <w:t xml:space="preserve">De asemenea, în prezent există în Parlament un proiect de modificare a codului penal </w:t>
      </w:r>
      <w:r w:rsidR="0056347E">
        <w:rPr>
          <w:rFonts w:ascii="Times New Roman" w:eastAsia="Calibri" w:hAnsi="Times New Roman" w:cs="Times New Roman"/>
          <w:sz w:val="24"/>
          <w:szCs w:val="24"/>
          <w:lang w:val="ro-RO"/>
        </w:rPr>
        <w:t>ș</w:t>
      </w:r>
      <w:r w:rsidR="00DF23F0">
        <w:rPr>
          <w:rFonts w:ascii="Times New Roman" w:eastAsia="Calibri" w:hAnsi="Times New Roman" w:cs="Times New Roman"/>
          <w:sz w:val="24"/>
          <w:szCs w:val="24"/>
          <w:lang w:val="ro-RO"/>
        </w:rPr>
        <w:t xml:space="preserve">i al codului de procedură penală. Bulversarea </w:t>
      </w:r>
      <w:r w:rsidR="00DF23F0">
        <w:rPr>
          <w:rFonts w:ascii="Times New Roman" w:eastAsia="Calibri" w:hAnsi="Times New Roman" w:cs="Times New Roman"/>
          <w:sz w:val="24"/>
          <w:szCs w:val="24"/>
          <w:lang w:val="ro-RO"/>
        </w:rPr>
        <w:lastRenderedPageBreak/>
        <w:t xml:space="preserve">juridică </w:t>
      </w:r>
      <w:r w:rsidR="0056347E">
        <w:rPr>
          <w:rFonts w:ascii="Times New Roman" w:eastAsia="Calibri" w:hAnsi="Times New Roman" w:cs="Times New Roman"/>
          <w:sz w:val="24"/>
          <w:szCs w:val="24"/>
          <w:lang w:val="ro-RO"/>
        </w:rPr>
        <w:t xml:space="preserve">a </w:t>
      </w:r>
      <w:r w:rsidR="00DF23F0">
        <w:rPr>
          <w:rFonts w:ascii="Times New Roman" w:eastAsia="Calibri" w:hAnsi="Times New Roman" w:cs="Times New Roman"/>
          <w:sz w:val="24"/>
          <w:szCs w:val="24"/>
          <w:lang w:val="ro-RO"/>
        </w:rPr>
        <w:t xml:space="preserve"> magistraților, dar și</w:t>
      </w:r>
      <w:r w:rsidR="0056347E">
        <w:rPr>
          <w:rFonts w:ascii="Times New Roman" w:eastAsia="Calibri" w:hAnsi="Times New Roman" w:cs="Times New Roman"/>
          <w:sz w:val="24"/>
          <w:szCs w:val="24"/>
          <w:lang w:val="ro-RO"/>
        </w:rPr>
        <w:t xml:space="preserve"> a</w:t>
      </w:r>
      <w:r w:rsidR="00DF23F0">
        <w:rPr>
          <w:rFonts w:ascii="Times New Roman" w:eastAsia="Calibri" w:hAnsi="Times New Roman" w:cs="Times New Roman"/>
          <w:sz w:val="24"/>
          <w:szCs w:val="24"/>
          <w:lang w:val="ro-RO"/>
        </w:rPr>
        <w:t xml:space="preserve"> avocaților și a celorlalți participan</w:t>
      </w:r>
      <w:r w:rsidR="0056347E">
        <w:rPr>
          <w:rFonts w:ascii="Times New Roman" w:eastAsia="Calibri" w:hAnsi="Times New Roman" w:cs="Times New Roman"/>
          <w:sz w:val="24"/>
          <w:szCs w:val="24"/>
          <w:lang w:val="ro-RO"/>
        </w:rPr>
        <w:t>ți</w:t>
      </w:r>
      <w:r w:rsidR="00DF23F0">
        <w:rPr>
          <w:rFonts w:ascii="Times New Roman" w:eastAsia="Calibri" w:hAnsi="Times New Roman" w:cs="Times New Roman"/>
          <w:sz w:val="24"/>
          <w:szCs w:val="24"/>
          <w:lang w:val="ro-RO"/>
        </w:rPr>
        <w:t xml:space="preserve"> la urmărirea penală sau la judecarea cauzelor penale</w:t>
      </w:r>
      <w:r w:rsidR="0056347E">
        <w:rPr>
          <w:rFonts w:ascii="Times New Roman" w:eastAsia="Calibri" w:hAnsi="Times New Roman" w:cs="Times New Roman"/>
          <w:sz w:val="24"/>
          <w:szCs w:val="24"/>
          <w:lang w:val="ro-RO"/>
        </w:rPr>
        <w:t>,</w:t>
      </w:r>
      <w:r w:rsidR="00DF23F0">
        <w:rPr>
          <w:rFonts w:ascii="Times New Roman" w:eastAsia="Calibri" w:hAnsi="Times New Roman" w:cs="Times New Roman"/>
          <w:sz w:val="24"/>
          <w:szCs w:val="24"/>
          <w:lang w:val="ro-RO"/>
        </w:rPr>
        <w:t xml:space="preserve"> nu poate fi benefic</w:t>
      </w:r>
      <w:r w:rsidR="0056347E">
        <w:rPr>
          <w:rFonts w:ascii="Times New Roman" w:eastAsia="Calibri" w:hAnsi="Times New Roman" w:cs="Times New Roman"/>
          <w:sz w:val="24"/>
          <w:szCs w:val="24"/>
          <w:lang w:val="ro-RO"/>
        </w:rPr>
        <w:t>ă</w:t>
      </w:r>
      <w:r w:rsidR="00DF23F0">
        <w:rPr>
          <w:rFonts w:ascii="Times New Roman" w:eastAsia="Calibri" w:hAnsi="Times New Roman" w:cs="Times New Roman"/>
          <w:sz w:val="24"/>
          <w:szCs w:val="24"/>
          <w:lang w:val="ro-RO"/>
        </w:rPr>
        <w:t xml:space="preserve"> niciunuia dintre actorii implicați în procesul penal.</w:t>
      </w:r>
    </w:p>
    <w:p w:rsidR="00DF23F0" w:rsidRDefault="00DF23F0" w:rsidP="008736AA">
      <w:pPr>
        <w:spacing w:after="0" w:line="36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 Aspectele care sunt de resortul intern al Ministerului Public țin în special de ordinele – în special cele mai vechi – ale procurorilor generali. Există mai multe ordine comune ale Procurorului General și al unor miniștri de interne sau șefi ai IGPR</w:t>
      </w:r>
      <w:r w:rsidR="0056347E">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care nu mai sunt de actualitate, dar sunt invocate în cursul activității de urmărire penală și pot purta asupra confidențialității urmăririi penale. Un exemplu ar fi ordinul comun al Procurorului general și al Inspectorului-șef referitor la posibilitatea ca, în cursul unor acțiuni de amploare a</w:t>
      </w:r>
      <w:r w:rsidR="0056347E">
        <w:rPr>
          <w:rFonts w:ascii="Times New Roman" w:eastAsia="Calibri" w:hAnsi="Times New Roman" w:cs="Times New Roman"/>
          <w:sz w:val="24"/>
          <w:szCs w:val="24"/>
          <w:lang w:val="ro-RO"/>
        </w:rPr>
        <w:t xml:space="preserve">le </w:t>
      </w:r>
      <w:r>
        <w:rPr>
          <w:rFonts w:ascii="Times New Roman" w:eastAsia="Calibri" w:hAnsi="Times New Roman" w:cs="Times New Roman"/>
          <w:sz w:val="24"/>
          <w:szCs w:val="24"/>
          <w:lang w:val="ro-RO"/>
        </w:rPr>
        <w:t>parchetului, reprezentantul poliției poate refuza, invocând lipsa logisticii, să participe la unele activități autorizate. Toate aceste ordine ar trebui analizate de procurori din cadrul Serviciului de Îndruma</w:t>
      </w:r>
      <w:r w:rsidR="0056347E">
        <w:rPr>
          <w:rFonts w:ascii="Times New Roman" w:eastAsia="Calibri" w:hAnsi="Times New Roman" w:cs="Times New Roman"/>
          <w:sz w:val="24"/>
          <w:szCs w:val="24"/>
          <w:lang w:val="ro-RO"/>
        </w:rPr>
        <w:t>r</w:t>
      </w:r>
      <w:r>
        <w:rPr>
          <w:rFonts w:ascii="Times New Roman" w:eastAsia="Calibri" w:hAnsi="Times New Roman" w:cs="Times New Roman"/>
          <w:sz w:val="24"/>
          <w:szCs w:val="24"/>
          <w:lang w:val="ro-RO"/>
        </w:rPr>
        <w:t>e și Control și puse în acord cu noile realități legislative.</w:t>
      </w:r>
    </w:p>
    <w:p w:rsidR="00AE3A60" w:rsidRDefault="00AE3A60" w:rsidP="008736AA">
      <w:pPr>
        <w:spacing w:after="0" w:line="36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În al doilea rând, încălcarea unor norme de competență a unor parchete care s-au </w:t>
      </w:r>
      <w:r w:rsidR="0056347E">
        <w:rPr>
          <w:rFonts w:ascii="Times New Roman" w:eastAsia="Calibri" w:hAnsi="Times New Roman" w:cs="Times New Roman"/>
          <w:sz w:val="24"/>
          <w:szCs w:val="24"/>
          <w:lang w:val="ro-RO"/>
        </w:rPr>
        <w:t>î</w:t>
      </w:r>
      <w:r>
        <w:rPr>
          <w:rFonts w:ascii="Times New Roman" w:eastAsia="Calibri" w:hAnsi="Times New Roman" w:cs="Times New Roman"/>
          <w:sz w:val="24"/>
          <w:szCs w:val="24"/>
          <w:lang w:val="ro-RO"/>
        </w:rPr>
        <w:t>nvestit cu anchetarea unor cauze</w:t>
      </w:r>
      <w:r w:rsidR="0056347E">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deși nu aveau compete</w:t>
      </w:r>
      <w:r w:rsidR="0056347E">
        <w:rPr>
          <w:rFonts w:ascii="Times New Roman" w:eastAsia="Calibri" w:hAnsi="Times New Roman" w:cs="Times New Roman"/>
          <w:sz w:val="24"/>
          <w:szCs w:val="24"/>
          <w:lang w:val="ro-RO"/>
        </w:rPr>
        <w:t>n</w:t>
      </w:r>
      <w:r>
        <w:rPr>
          <w:rFonts w:ascii="Times New Roman" w:eastAsia="Calibri" w:hAnsi="Times New Roman" w:cs="Times New Roman"/>
          <w:sz w:val="24"/>
          <w:szCs w:val="24"/>
          <w:lang w:val="ro-RO"/>
        </w:rPr>
        <w:t>ță materială</w:t>
      </w:r>
      <w:r w:rsidR="0056347E">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au dus la conflicte de competență și, pe cale de consecință, la tergiversarea cauzelor.</w:t>
      </w:r>
    </w:p>
    <w:p w:rsidR="003D09E2" w:rsidRPr="003D09E2" w:rsidRDefault="003D09E2" w:rsidP="003D09E2">
      <w:pPr>
        <w:spacing w:after="0" w:line="36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4. </w:t>
      </w:r>
      <w:r w:rsidRPr="003D09E2">
        <w:rPr>
          <w:rFonts w:ascii="Times New Roman" w:eastAsia="Calibri" w:hAnsi="Times New Roman" w:cs="Times New Roman"/>
          <w:sz w:val="24"/>
          <w:szCs w:val="24"/>
          <w:lang w:val="ro-RO"/>
        </w:rPr>
        <w:t>De</w:t>
      </w:r>
      <w:r w:rsidR="0056347E">
        <w:rPr>
          <w:rFonts w:ascii="Times New Roman" w:eastAsia="Calibri" w:hAnsi="Times New Roman" w:cs="Times New Roman"/>
          <w:sz w:val="24"/>
          <w:szCs w:val="24"/>
          <w:lang w:val="ro-RO"/>
        </w:rPr>
        <w:t>ș</w:t>
      </w:r>
      <w:r w:rsidRPr="003D09E2">
        <w:rPr>
          <w:rFonts w:ascii="Times New Roman" w:eastAsia="Calibri" w:hAnsi="Times New Roman" w:cs="Times New Roman"/>
          <w:sz w:val="24"/>
          <w:szCs w:val="24"/>
          <w:lang w:val="ro-RO"/>
        </w:rPr>
        <w:t>i men</w:t>
      </w:r>
      <w:r w:rsidR="0056347E">
        <w:rPr>
          <w:rFonts w:ascii="Times New Roman" w:eastAsia="Calibri" w:hAnsi="Times New Roman" w:cs="Times New Roman"/>
          <w:sz w:val="24"/>
          <w:szCs w:val="24"/>
          <w:lang w:val="ro-RO"/>
        </w:rPr>
        <w:t>ț</w:t>
      </w:r>
      <w:r w:rsidRPr="003D09E2">
        <w:rPr>
          <w:rFonts w:ascii="Times New Roman" w:eastAsia="Calibri" w:hAnsi="Times New Roman" w:cs="Times New Roman"/>
          <w:sz w:val="24"/>
          <w:szCs w:val="24"/>
          <w:lang w:val="ro-RO"/>
        </w:rPr>
        <w:t>ionat</w:t>
      </w:r>
      <w:r w:rsidR="0056347E">
        <w:rPr>
          <w:rFonts w:ascii="Times New Roman" w:eastAsia="Calibri" w:hAnsi="Times New Roman" w:cs="Times New Roman"/>
          <w:sz w:val="24"/>
          <w:szCs w:val="24"/>
          <w:lang w:val="ro-RO"/>
        </w:rPr>
        <w:t>ă</w:t>
      </w:r>
      <w:r w:rsidRPr="003D09E2">
        <w:rPr>
          <w:rFonts w:ascii="Times New Roman" w:eastAsia="Calibri" w:hAnsi="Times New Roman" w:cs="Times New Roman"/>
          <w:sz w:val="24"/>
          <w:szCs w:val="24"/>
          <w:lang w:val="ro-RO"/>
        </w:rPr>
        <w:t xml:space="preserve"> </w:t>
      </w:r>
      <w:r w:rsidR="0056347E">
        <w:rPr>
          <w:rFonts w:ascii="Times New Roman" w:eastAsia="Calibri" w:hAnsi="Times New Roman" w:cs="Times New Roman"/>
          <w:sz w:val="24"/>
          <w:szCs w:val="24"/>
          <w:lang w:val="ro-RO"/>
        </w:rPr>
        <w:t>î</w:t>
      </w:r>
      <w:r w:rsidRPr="003D09E2">
        <w:rPr>
          <w:rFonts w:ascii="Times New Roman" w:eastAsia="Calibri" w:hAnsi="Times New Roman" w:cs="Times New Roman"/>
          <w:sz w:val="24"/>
          <w:szCs w:val="24"/>
          <w:lang w:val="ro-RO"/>
        </w:rPr>
        <w:t>n pozi</w:t>
      </w:r>
      <w:r w:rsidR="0056347E">
        <w:rPr>
          <w:rFonts w:ascii="Times New Roman" w:eastAsia="Calibri" w:hAnsi="Times New Roman" w:cs="Times New Roman"/>
          <w:sz w:val="24"/>
          <w:szCs w:val="24"/>
          <w:lang w:val="ro-RO"/>
        </w:rPr>
        <w:t>ț</w:t>
      </w:r>
      <w:r w:rsidRPr="003D09E2">
        <w:rPr>
          <w:rFonts w:ascii="Times New Roman" w:eastAsia="Calibri" w:hAnsi="Times New Roman" w:cs="Times New Roman"/>
          <w:sz w:val="24"/>
          <w:szCs w:val="24"/>
          <w:lang w:val="ro-RO"/>
        </w:rPr>
        <w:t>ia a 4</w:t>
      </w:r>
      <w:r w:rsidR="0056347E">
        <w:rPr>
          <w:rFonts w:ascii="Times New Roman" w:eastAsia="Calibri" w:hAnsi="Times New Roman" w:cs="Times New Roman"/>
          <w:sz w:val="24"/>
          <w:szCs w:val="24"/>
          <w:lang w:val="ro-RO"/>
        </w:rPr>
        <w:t>-a</w:t>
      </w:r>
      <w:r w:rsidRPr="003D09E2">
        <w:rPr>
          <w:rFonts w:ascii="Times New Roman" w:eastAsia="Calibri" w:hAnsi="Times New Roman" w:cs="Times New Roman"/>
          <w:sz w:val="24"/>
          <w:szCs w:val="24"/>
          <w:lang w:val="ro-RO"/>
        </w:rPr>
        <w:t xml:space="preserve"> </w:t>
      </w:r>
      <w:r w:rsidR="00AE3A60">
        <w:rPr>
          <w:rFonts w:ascii="Times New Roman" w:eastAsia="Calibri" w:hAnsi="Times New Roman" w:cs="Times New Roman"/>
          <w:sz w:val="24"/>
          <w:szCs w:val="24"/>
          <w:lang w:val="ro-RO"/>
        </w:rPr>
        <w:t>î</w:t>
      </w:r>
      <w:r w:rsidRPr="003D09E2">
        <w:rPr>
          <w:rFonts w:ascii="Times New Roman" w:eastAsia="Calibri" w:hAnsi="Times New Roman" w:cs="Times New Roman"/>
          <w:sz w:val="24"/>
          <w:szCs w:val="24"/>
          <w:lang w:val="ro-RO"/>
        </w:rPr>
        <w:t>n ordinea de prezentare a categoriilor de vulnerabilități, dat</w:t>
      </w:r>
      <w:r w:rsidR="0056347E">
        <w:rPr>
          <w:rFonts w:ascii="Times New Roman" w:eastAsia="Calibri" w:hAnsi="Times New Roman" w:cs="Times New Roman"/>
          <w:sz w:val="24"/>
          <w:szCs w:val="24"/>
          <w:lang w:val="ro-RO"/>
        </w:rPr>
        <w:t>ă</w:t>
      </w:r>
      <w:r w:rsidRPr="003D09E2">
        <w:rPr>
          <w:rFonts w:ascii="Times New Roman" w:eastAsia="Calibri" w:hAnsi="Times New Roman" w:cs="Times New Roman"/>
          <w:sz w:val="24"/>
          <w:szCs w:val="24"/>
          <w:lang w:val="ro-RO"/>
        </w:rPr>
        <w:t xml:space="preserve"> fiind ponderea acestor</w:t>
      </w:r>
      <w:r w:rsidR="0056347E">
        <w:rPr>
          <w:rFonts w:ascii="Times New Roman" w:eastAsia="Calibri" w:hAnsi="Times New Roman" w:cs="Times New Roman"/>
          <w:sz w:val="24"/>
          <w:szCs w:val="24"/>
          <w:lang w:val="ro-RO"/>
        </w:rPr>
        <w:t>a,</w:t>
      </w:r>
      <w:r w:rsidRPr="003D09E2">
        <w:rPr>
          <w:rFonts w:ascii="Times New Roman" w:eastAsia="Calibri" w:hAnsi="Times New Roman" w:cs="Times New Roman"/>
          <w:sz w:val="24"/>
          <w:szCs w:val="24"/>
          <w:lang w:val="ro-RO"/>
        </w:rPr>
        <w:t xml:space="preserve"> pot aprecia </w:t>
      </w:r>
      <w:r w:rsidR="0056347E">
        <w:rPr>
          <w:rFonts w:ascii="Times New Roman" w:eastAsia="Calibri" w:hAnsi="Times New Roman" w:cs="Times New Roman"/>
          <w:sz w:val="24"/>
          <w:szCs w:val="24"/>
          <w:lang w:val="ro-RO"/>
        </w:rPr>
        <w:t>ș</w:t>
      </w:r>
      <w:r w:rsidRPr="003D09E2">
        <w:rPr>
          <w:rFonts w:ascii="Times New Roman" w:eastAsia="Calibri" w:hAnsi="Times New Roman" w:cs="Times New Roman"/>
          <w:sz w:val="24"/>
          <w:szCs w:val="24"/>
          <w:lang w:val="ro-RO"/>
        </w:rPr>
        <w:t>i pe baza experienței directe acumulate c</w:t>
      </w:r>
      <w:r w:rsidR="00AE3A60">
        <w:rPr>
          <w:rFonts w:ascii="Times New Roman" w:eastAsia="Calibri" w:hAnsi="Times New Roman" w:cs="Times New Roman"/>
          <w:sz w:val="24"/>
          <w:szCs w:val="24"/>
          <w:lang w:val="ro-RO"/>
        </w:rPr>
        <w:t>ă</w:t>
      </w:r>
      <w:r w:rsidRPr="003D09E2">
        <w:rPr>
          <w:rFonts w:ascii="Times New Roman" w:eastAsia="Calibri" w:hAnsi="Times New Roman" w:cs="Times New Roman"/>
          <w:sz w:val="24"/>
          <w:szCs w:val="24"/>
          <w:lang w:val="ro-RO"/>
        </w:rPr>
        <w:t xml:space="preserve"> principala vulnerabilitate </w:t>
      </w:r>
      <w:r>
        <w:rPr>
          <w:rFonts w:ascii="Times New Roman" w:eastAsia="Calibri" w:hAnsi="Times New Roman" w:cs="Times New Roman"/>
          <w:sz w:val="24"/>
          <w:szCs w:val="24"/>
          <w:lang w:val="ro-RO"/>
        </w:rPr>
        <w:t>Ministerului Public</w:t>
      </w:r>
      <w:r w:rsidRPr="003D09E2">
        <w:rPr>
          <w:rFonts w:ascii="Times New Roman" w:eastAsia="Calibri" w:hAnsi="Times New Roman" w:cs="Times New Roman"/>
          <w:sz w:val="24"/>
          <w:szCs w:val="24"/>
          <w:lang w:val="ro-RO"/>
        </w:rPr>
        <w:t xml:space="preserve"> o reprezintă lipsa unei poli</w:t>
      </w:r>
      <w:r w:rsidR="0056347E">
        <w:rPr>
          <w:rFonts w:ascii="Times New Roman" w:eastAsia="Calibri" w:hAnsi="Times New Roman" w:cs="Times New Roman"/>
          <w:sz w:val="24"/>
          <w:szCs w:val="24"/>
          <w:lang w:val="ro-RO"/>
        </w:rPr>
        <w:t>ț</w:t>
      </w:r>
      <w:r w:rsidRPr="003D09E2">
        <w:rPr>
          <w:rFonts w:ascii="Times New Roman" w:eastAsia="Calibri" w:hAnsi="Times New Roman" w:cs="Times New Roman"/>
          <w:sz w:val="24"/>
          <w:szCs w:val="24"/>
          <w:lang w:val="ro-RO"/>
        </w:rPr>
        <w:t xml:space="preserve">ii judiciare </w:t>
      </w:r>
      <w:r>
        <w:rPr>
          <w:rFonts w:ascii="Times New Roman" w:eastAsia="Calibri" w:hAnsi="Times New Roman" w:cs="Times New Roman"/>
          <w:sz w:val="24"/>
          <w:szCs w:val="24"/>
          <w:lang w:val="ro-RO"/>
        </w:rPr>
        <w:t>dedicat</w:t>
      </w:r>
      <w:r w:rsidR="0056347E">
        <w:rPr>
          <w:rFonts w:ascii="Times New Roman" w:eastAsia="Calibri" w:hAnsi="Times New Roman" w:cs="Times New Roman"/>
          <w:sz w:val="24"/>
          <w:szCs w:val="24"/>
          <w:lang w:val="ro-RO"/>
        </w:rPr>
        <w:t>e</w:t>
      </w:r>
      <w:r>
        <w:rPr>
          <w:rFonts w:ascii="Times New Roman" w:eastAsia="Calibri" w:hAnsi="Times New Roman" w:cs="Times New Roman"/>
          <w:sz w:val="24"/>
          <w:szCs w:val="24"/>
          <w:lang w:val="ro-RO"/>
        </w:rPr>
        <w:t xml:space="preserve"> exclusiv anchetelor penale</w:t>
      </w:r>
      <w:r w:rsidRPr="003D09E2">
        <w:rPr>
          <w:rFonts w:ascii="Times New Roman" w:eastAsia="Calibri" w:hAnsi="Times New Roman" w:cs="Times New Roman"/>
          <w:sz w:val="24"/>
          <w:szCs w:val="24"/>
          <w:lang w:val="ro-RO"/>
        </w:rPr>
        <w:t xml:space="preserve"> </w:t>
      </w:r>
      <w:r w:rsidR="0056347E">
        <w:rPr>
          <w:rFonts w:ascii="Times New Roman" w:eastAsia="Calibri" w:hAnsi="Times New Roman" w:cs="Times New Roman"/>
          <w:sz w:val="24"/>
          <w:szCs w:val="24"/>
          <w:lang w:val="ro-RO"/>
        </w:rPr>
        <w:t>ș</w:t>
      </w:r>
      <w:r w:rsidRPr="003D09E2">
        <w:rPr>
          <w:rFonts w:ascii="Times New Roman" w:eastAsia="Calibri" w:hAnsi="Times New Roman" w:cs="Times New Roman"/>
          <w:sz w:val="24"/>
          <w:szCs w:val="24"/>
          <w:lang w:val="ro-RO"/>
        </w:rPr>
        <w:t xml:space="preserve">i dubla subordonare a corpului de polițiști </w:t>
      </w:r>
      <w:r>
        <w:rPr>
          <w:rFonts w:ascii="Times New Roman" w:eastAsia="Calibri" w:hAnsi="Times New Roman" w:cs="Times New Roman"/>
          <w:sz w:val="24"/>
          <w:szCs w:val="24"/>
          <w:lang w:val="ro-RO"/>
        </w:rPr>
        <w:t xml:space="preserve"> judiciari</w:t>
      </w:r>
      <w:r w:rsidRPr="003D09E2">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Este notoriu faptul că ultimii ani au adus Poliției Române cea mai grea situație a resurselor umane de după 1990 prin pensionări ale celor mai buni profesioniști din poliție.  Deși în mai mică proporție, problema este încă recurentă.</w:t>
      </w:r>
    </w:p>
    <w:p w:rsidR="007F2F1D" w:rsidRDefault="003D09E2" w:rsidP="003D09E2">
      <w:pPr>
        <w:spacing w:after="0" w:line="360" w:lineRule="auto"/>
        <w:ind w:firstLine="720"/>
        <w:jc w:val="both"/>
        <w:rPr>
          <w:rFonts w:ascii="Times New Roman" w:eastAsia="Calibri" w:hAnsi="Times New Roman" w:cs="Times New Roman"/>
          <w:sz w:val="24"/>
          <w:szCs w:val="24"/>
          <w:lang w:val="ro-RO"/>
        </w:rPr>
      </w:pPr>
      <w:r w:rsidRPr="003D09E2">
        <w:rPr>
          <w:rFonts w:ascii="Times New Roman" w:eastAsia="Calibri" w:hAnsi="Times New Roman" w:cs="Times New Roman"/>
          <w:sz w:val="24"/>
          <w:szCs w:val="24"/>
          <w:lang w:val="ro-RO"/>
        </w:rPr>
        <w:t>Numărul insuficient de polițiști, ritmul foarte greoi, lent</w:t>
      </w:r>
      <w:r w:rsidR="004833D7">
        <w:rPr>
          <w:rFonts w:ascii="Times New Roman" w:eastAsia="Calibri" w:hAnsi="Times New Roman" w:cs="Times New Roman"/>
          <w:sz w:val="24"/>
          <w:szCs w:val="24"/>
          <w:lang w:val="ro-RO"/>
        </w:rPr>
        <w:t>,</w:t>
      </w:r>
      <w:r w:rsidRPr="003D09E2">
        <w:rPr>
          <w:rFonts w:ascii="Times New Roman" w:eastAsia="Calibri" w:hAnsi="Times New Roman" w:cs="Times New Roman"/>
          <w:sz w:val="24"/>
          <w:szCs w:val="24"/>
          <w:lang w:val="ro-RO"/>
        </w:rPr>
        <w:t xml:space="preserve"> de acoperire a nevoilor de polițiști </w:t>
      </w:r>
      <w:r w:rsidR="004833D7">
        <w:rPr>
          <w:rFonts w:ascii="Times New Roman" w:eastAsia="Calibri" w:hAnsi="Times New Roman" w:cs="Times New Roman"/>
          <w:sz w:val="24"/>
          <w:szCs w:val="24"/>
          <w:lang w:val="ro-RO"/>
        </w:rPr>
        <w:t>î</w:t>
      </w:r>
      <w:r w:rsidRPr="003D09E2">
        <w:rPr>
          <w:rFonts w:ascii="Times New Roman" w:eastAsia="Calibri" w:hAnsi="Times New Roman" w:cs="Times New Roman"/>
          <w:sz w:val="24"/>
          <w:szCs w:val="24"/>
          <w:lang w:val="ro-RO"/>
        </w:rPr>
        <w:t>n schemele de personal unde au ap</w:t>
      </w:r>
      <w:r w:rsidR="0056347E">
        <w:rPr>
          <w:rFonts w:ascii="Times New Roman" w:eastAsia="Calibri" w:hAnsi="Times New Roman" w:cs="Times New Roman"/>
          <w:sz w:val="24"/>
          <w:szCs w:val="24"/>
          <w:lang w:val="ro-RO"/>
        </w:rPr>
        <w:t>ă</w:t>
      </w:r>
      <w:r w:rsidRPr="003D09E2">
        <w:rPr>
          <w:rFonts w:ascii="Times New Roman" w:eastAsia="Calibri" w:hAnsi="Times New Roman" w:cs="Times New Roman"/>
          <w:sz w:val="24"/>
          <w:szCs w:val="24"/>
          <w:lang w:val="ro-RO"/>
        </w:rPr>
        <w:t>rut caren</w:t>
      </w:r>
      <w:r w:rsidR="0056347E">
        <w:rPr>
          <w:rFonts w:ascii="Times New Roman" w:eastAsia="Calibri" w:hAnsi="Times New Roman" w:cs="Times New Roman"/>
          <w:sz w:val="24"/>
          <w:szCs w:val="24"/>
          <w:lang w:val="ro-RO"/>
        </w:rPr>
        <w:t>ț</w:t>
      </w:r>
      <w:r w:rsidRPr="003D09E2">
        <w:rPr>
          <w:rFonts w:ascii="Times New Roman" w:eastAsia="Calibri" w:hAnsi="Times New Roman" w:cs="Times New Roman"/>
          <w:sz w:val="24"/>
          <w:szCs w:val="24"/>
          <w:lang w:val="ro-RO"/>
        </w:rPr>
        <w:t>e numerice, s</w:t>
      </w:r>
      <w:r>
        <w:rPr>
          <w:rFonts w:ascii="Times New Roman" w:eastAsia="Calibri" w:hAnsi="Times New Roman" w:cs="Times New Roman"/>
          <w:sz w:val="24"/>
          <w:szCs w:val="24"/>
          <w:lang w:val="ro-RO"/>
        </w:rPr>
        <w:t>istemul de management practicat</w:t>
      </w:r>
      <w:r w:rsidRPr="003D09E2">
        <w:rPr>
          <w:rFonts w:ascii="Times New Roman" w:eastAsia="Calibri" w:hAnsi="Times New Roman" w:cs="Times New Roman"/>
          <w:sz w:val="24"/>
          <w:szCs w:val="24"/>
          <w:lang w:val="ro-RO"/>
        </w:rPr>
        <w:t xml:space="preserve">, </w:t>
      </w:r>
      <w:r w:rsidR="004833D7">
        <w:rPr>
          <w:rFonts w:ascii="Times New Roman" w:eastAsia="Calibri" w:hAnsi="Times New Roman" w:cs="Times New Roman"/>
          <w:sz w:val="24"/>
          <w:szCs w:val="24"/>
          <w:lang w:val="ro-RO"/>
        </w:rPr>
        <w:t>î</w:t>
      </w:r>
      <w:r w:rsidRPr="003D09E2">
        <w:rPr>
          <w:rFonts w:ascii="Times New Roman" w:eastAsia="Calibri" w:hAnsi="Times New Roman" w:cs="Times New Roman"/>
          <w:sz w:val="24"/>
          <w:szCs w:val="24"/>
          <w:lang w:val="ro-RO"/>
        </w:rPr>
        <w:t xml:space="preserve">n foarte multe cazuri prin împuternicire </w:t>
      </w:r>
      <w:r w:rsidR="004833D7">
        <w:rPr>
          <w:rFonts w:ascii="Times New Roman" w:eastAsia="Calibri" w:hAnsi="Times New Roman" w:cs="Times New Roman"/>
          <w:sz w:val="24"/>
          <w:szCs w:val="24"/>
          <w:lang w:val="ro-RO"/>
        </w:rPr>
        <w:t>ș</w:t>
      </w:r>
      <w:r w:rsidRPr="003D09E2">
        <w:rPr>
          <w:rFonts w:ascii="Times New Roman" w:eastAsia="Calibri" w:hAnsi="Times New Roman" w:cs="Times New Roman"/>
          <w:sz w:val="24"/>
          <w:szCs w:val="24"/>
          <w:lang w:val="ro-RO"/>
        </w:rPr>
        <w:t>i nu prin numire, calitatea inadecvat</w:t>
      </w:r>
      <w:r w:rsidR="004833D7">
        <w:rPr>
          <w:rFonts w:ascii="Times New Roman" w:eastAsia="Calibri" w:hAnsi="Times New Roman" w:cs="Times New Roman"/>
          <w:sz w:val="24"/>
          <w:szCs w:val="24"/>
          <w:lang w:val="ro-RO"/>
        </w:rPr>
        <w:t>ă</w:t>
      </w:r>
      <w:r w:rsidRPr="003D09E2">
        <w:rPr>
          <w:rFonts w:ascii="Times New Roman" w:eastAsia="Calibri" w:hAnsi="Times New Roman" w:cs="Times New Roman"/>
          <w:sz w:val="24"/>
          <w:szCs w:val="24"/>
          <w:lang w:val="ro-RO"/>
        </w:rPr>
        <w:t xml:space="preserve"> a noilor cadre recrutate, lipsa unor specializări adecvate care sa acopere rezonabil </w:t>
      </w:r>
      <w:r>
        <w:rPr>
          <w:rFonts w:ascii="Times New Roman" w:eastAsia="Calibri" w:hAnsi="Times New Roman" w:cs="Times New Roman"/>
          <w:sz w:val="24"/>
          <w:szCs w:val="24"/>
          <w:lang w:val="ro-RO"/>
        </w:rPr>
        <w:t>noile nevoi</w:t>
      </w:r>
      <w:r w:rsidRPr="003D09E2">
        <w:rPr>
          <w:rFonts w:ascii="Times New Roman" w:eastAsia="Calibri" w:hAnsi="Times New Roman" w:cs="Times New Roman"/>
          <w:sz w:val="24"/>
          <w:szCs w:val="24"/>
          <w:lang w:val="ro-RO"/>
        </w:rPr>
        <w:t>, starea de demotivare a lucrătorilor de poli</w:t>
      </w:r>
      <w:r w:rsidR="004833D7">
        <w:rPr>
          <w:rFonts w:ascii="Times New Roman" w:eastAsia="Calibri" w:hAnsi="Times New Roman" w:cs="Times New Roman"/>
          <w:sz w:val="24"/>
          <w:szCs w:val="24"/>
          <w:lang w:val="ro-RO"/>
        </w:rPr>
        <w:t>ț</w:t>
      </w:r>
      <w:r w:rsidRPr="003D09E2">
        <w:rPr>
          <w:rFonts w:ascii="Times New Roman" w:eastAsia="Calibri" w:hAnsi="Times New Roman" w:cs="Times New Roman"/>
          <w:sz w:val="24"/>
          <w:szCs w:val="24"/>
          <w:lang w:val="ro-RO"/>
        </w:rPr>
        <w:t xml:space="preserve">ie, deprofesionalizarea </w:t>
      </w:r>
      <w:r w:rsidR="004833D7">
        <w:rPr>
          <w:rFonts w:ascii="Times New Roman" w:eastAsia="Calibri" w:hAnsi="Times New Roman" w:cs="Times New Roman"/>
          <w:sz w:val="24"/>
          <w:szCs w:val="24"/>
          <w:lang w:val="ro-RO"/>
        </w:rPr>
        <w:t>ș</w:t>
      </w:r>
      <w:r w:rsidRPr="003D09E2">
        <w:rPr>
          <w:rFonts w:ascii="Times New Roman" w:eastAsia="Calibri" w:hAnsi="Times New Roman" w:cs="Times New Roman"/>
          <w:sz w:val="24"/>
          <w:szCs w:val="24"/>
          <w:lang w:val="ro-RO"/>
        </w:rPr>
        <w:t xml:space="preserve">i neasumarea unor responsabilități efective sunt aspecte comune </w:t>
      </w:r>
      <w:r>
        <w:rPr>
          <w:rFonts w:ascii="Times New Roman" w:eastAsia="Calibri" w:hAnsi="Times New Roman" w:cs="Times New Roman"/>
          <w:sz w:val="24"/>
          <w:szCs w:val="24"/>
          <w:lang w:val="ro-RO"/>
        </w:rPr>
        <w:t>constatate în ultimii ani</w:t>
      </w:r>
      <w:r w:rsidRPr="003D09E2">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Pe de altă parte, o carență gravă o reprezintă li</w:t>
      </w:r>
      <w:r w:rsidRPr="003D09E2">
        <w:rPr>
          <w:rFonts w:ascii="Times New Roman" w:eastAsia="Calibri" w:hAnsi="Times New Roman" w:cs="Times New Roman"/>
          <w:sz w:val="24"/>
          <w:szCs w:val="24"/>
          <w:lang w:val="ro-RO"/>
        </w:rPr>
        <w:t>psa sau calitatea precar</w:t>
      </w:r>
      <w:r w:rsidR="004833D7">
        <w:rPr>
          <w:rFonts w:ascii="Times New Roman" w:eastAsia="Calibri" w:hAnsi="Times New Roman" w:cs="Times New Roman"/>
          <w:sz w:val="24"/>
          <w:szCs w:val="24"/>
          <w:lang w:val="ro-RO"/>
        </w:rPr>
        <w:t>ă</w:t>
      </w:r>
      <w:r w:rsidRPr="003D09E2">
        <w:rPr>
          <w:rFonts w:ascii="Times New Roman" w:eastAsia="Calibri" w:hAnsi="Times New Roman" w:cs="Times New Roman"/>
          <w:sz w:val="24"/>
          <w:szCs w:val="24"/>
          <w:lang w:val="ro-RO"/>
        </w:rPr>
        <w:t xml:space="preserve"> a informa</w:t>
      </w:r>
      <w:r w:rsidR="004833D7">
        <w:rPr>
          <w:rFonts w:ascii="Times New Roman" w:eastAsia="Calibri" w:hAnsi="Times New Roman" w:cs="Times New Roman"/>
          <w:sz w:val="24"/>
          <w:szCs w:val="24"/>
          <w:lang w:val="ro-RO"/>
        </w:rPr>
        <w:t>ț</w:t>
      </w:r>
      <w:r w:rsidRPr="003D09E2">
        <w:rPr>
          <w:rFonts w:ascii="Times New Roman" w:eastAsia="Calibri" w:hAnsi="Times New Roman" w:cs="Times New Roman"/>
          <w:sz w:val="24"/>
          <w:szCs w:val="24"/>
          <w:lang w:val="ro-RO"/>
        </w:rPr>
        <w:t>iilor/sesiz</w:t>
      </w:r>
      <w:r w:rsidR="004833D7">
        <w:rPr>
          <w:rFonts w:ascii="Times New Roman" w:eastAsia="Calibri" w:hAnsi="Times New Roman" w:cs="Times New Roman"/>
          <w:sz w:val="24"/>
          <w:szCs w:val="24"/>
          <w:lang w:val="ro-RO"/>
        </w:rPr>
        <w:t>ă</w:t>
      </w:r>
      <w:r w:rsidRPr="003D09E2">
        <w:rPr>
          <w:rFonts w:ascii="Times New Roman" w:eastAsia="Calibri" w:hAnsi="Times New Roman" w:cs="Times New Roman"/>
          <w:sz w:val="24"/>
          <w:szCs w:val="24"/>
          <w:lang w:val="ro-RO"/>
        </w:rPr>
        <w:t>rilor din oficiu transmise de poli</w:t>
      </w:r>
      <w:r w:rsidR="004833D7">
        <w:rPr>
          <w:rFonts w:ascii="Times New Roman" w:eastAsia="Calibri" w:hAnsi="Times New Roman" w:cs="Times New Roman"/>
          <w:sz w:val="24"/>
          <w:szCs w:val="24"/>
          <w:lang w:val="ro-RO"/>
        </w:rPr>
        <w:t>ț</w:t>
      </w:r>
      <w:r w:rsidRPr="003D09E2">
        <w:rPr>
          <w:rFonts w:ascii="Times New Roman" w:eastAsia="Calibri" w:hAnsi="Times New Roman" w:cs="Times New Roman"/>
          <w:sz w:val="24"/>
          <w:szCs w:val="24"/>
          <w:lang w:val="ro-RO"/>
        </w:rPr>
        <w:t xml:space="preserve">ia </w:t>
      </w:r>
      <w:r>
        <w:rPr>
          <w:rFonts w:ascii="Times New Roman" w:eastAsia="Calibri" w:hAnsi="Times New Roman" w:cs="Times New Roman"/>
          <w:sz w:val="24"/>
          <w:szCs w:val="24"/>
          <w:lang w:val="ro-RO"/>
        </w:rPr>
        <w:t>judiciară sau de ceilalți polițiști, care nu au neapărat aviz de poliție judiciară</w:t>
      </w:r>
      <w:r w:rsidRPr="003D09E2">
        <w:rPr>
          <w:rFonts w:ascii="Times New Roman" w:eastAsia="Calibri" w:hAnsi="Times New Roman" w:cs="Times New Roman"/>
          <w:sz w:val="24"/>
          <w:szCs w:val="24"/>
          <w:lang w:val="ro-RO"/>
        </w:rPr>
        <w:t>. Un num</w:t>
      </w:r>
      <w:r w:rsidR="004833D7">
        <w:rPr>
          <w:rFonts w:ascii="Times New Roman" w:eastAsia="Calibri" w:hAnsi="Times New Roman" w:cs="Times New Roman"/>
          <w:sz w:val="24"/>
          <w:szCs w:val="24"/>
          <w:lang w:val="ro-RO"/>
        </w:rPr>
        <w:t>ă</w:t>
      </w:r>
      <w:r w:rsidRPr="003D09E2">
        <w:rPr>
          <w:rFonts w:ascii="Times New Roman" w:eastAsia="Calibri" w:hAnsi="Times New Roman" w:cs="Times New Roman"/>
          <w:sz w:val="24"/>
          <w:szCs w:val="24"/>
          <w:lang w:val="ro-RO"/>
        </w:rPr>
        <w:t>r semnificativ</w:t>
      </w:r>
      <w:r w:rsidR="004833D7">
        <w:rPr>
          <w:rFonts w:ascii="Times New Roman" w:eastAsia="Calibri" w:hAnsi="Times New Roman" w:cs="Times New Roman"/>
          <w:sz w:val="24"/>
          <w:szCs w:val="24"/>
          <w:lang w:val="ro-RO"/>
        </w:rPr>
        <w:t xml:space="preserve"> de</w:t>
      </w:r>
      <w:r w:rsidRPr="003D09E2">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parchete</w:t>
      </w:r>
      <w:r w:rsidRPr="003D09E2">
        <w:rPr>
          <w:rFonts w:ascii="Times New Roman" w:eastAsia="Calibri" w:hAnsi="Times New Roman" w:cs="Times New Roman"/>
          <w:sz w:val="24"/>
          <w:szCs w:val="24"/>
          <w:lang w:val="ro-RO"/>
        </w:rPr>
        <w:t xml:space="preserve"> au evaluat la rândul lor cont</w:t>
      </w:r>
      <w:r>
        <w:rPr>
          <w:rFonts w:ascii="Times New Roman" w:eastAsia="Calibri" w:hAnsi="Times New Roman" w:cs="Times New Roman"/>
          <w:sz w:val="24"/>
          <w:szCs w:val="24"/>
          <w:lang w:val="ro-RO"/>
        </w:rPr>
        <w:t>ribuția precar</w:t>
      </w:r>
      <w:r w:rsidR="004833D7">
        <w:rPr>
          <w:rFonts w:ascii="Times New Roman" w:eastAsia="Calibri" w:hAnsi="Times New Roman" w:cs="Times New Roman"/>
          <w:sz w:val="24"/>
          <w:szCs w:val="24"/>
          <w:lang w:val="ro-RO"/>
        </w:rPr>
        <w:t>ă</w:t>
      </w:r>
      <w:r>
        <w:rPr>
          <w:rFonts w:ascii="Times New Roman" w:eastAsia="Calibri" w:hAnsi="Times New Roman" w:cs="Times New Roman"/>
          <w:sz w:val="24"/>
          <w:szCs w:val="24"/>
          <w:lang w:val="ro-RO"/>
        </w:rPr>
        <w:t xml:space="preserve"> a structurilor</w:t>
      </w:r>
      <w:r w:rsidRPr="003D09E2">
        <w:rPr>
          <w:rFonts w:ascii="Times New Roman" w:eastAsia="Calibri" w:hAnsi="Times New Roman" w:cs="Times New Roman"/>
          <w:sz w:val="24"/>
          <w:szCs w:val="24"/>
          <w:lang w:val="ro-RO"/>
        </w:rPr>
        <w:t xml:space="preserve"> de poli</w:t>
      </w:r>
      <w:r w:rsidR="004833D7">
        <w:rPr>
          <w:rFonts w:ascii="Times New Roman" w:eastAsia="Calibri" w:hAnsi="Times New Roman" w:cs="Times New Roman"/>
          <w:sz w:val="24"/>
          <w:szCs w:val="24"/>
          <w:lang w:val="ro-RO"/>
        </w:rPr>
        <w:t>ț</w:t>
      </w:r>
      <w:r w:rsidRPr="003D09E2">
        <w:rPr>
          <w:rFonts w:ascii="Times New Roman" w:eastAsia="Calibri" w:hAnsi="Times New Roman" w:cs="Times New Roman"/>
          <w:sz w:val="24"/>
          <w:szCs w:val="24"/>
          <w:lang w:val="ro-RO"/>
        </w:rPr>
        <w:t xml:space="preserve">ie </w:t>
      </w:r>
      <w:r w:rsidR="004833D7">
        <w:rPr>
          <w:rFonts w:ascii="Times New Roman" w:eastAsia="Calibri" w:hAnsi="Times New Roman" w:cs="Times New Roman"/>
          <w:sz w:val="24"/>
          <w:szCs w:val="24"/>
          <w:lang w:val="ro-RO"/>
        </w:rPr>
        <w:t>î</w:t>
      </w:r>
      <w:r w:rsidRPr="003D09E2">
        <w:rPr>
          <w:rFonts w:ascii="Times New Roman" w:eastAsia="Calibri" w:hAnsi="Times New Roman" w:cs="Times New Roman"/>
          <w:sz w:val="24"/>
          <w:szCs w:val="24"/>
          <w:lang w:val="ro-RO"/>
        </w:rPr>
        <w:t>n furnizarea unor p</w:t>
      </w:r>
      <w:r>
        <w:rPr>
          <w:rFonts w:ascii="Times New Roman" w:eastAsia="Calibri" w:hAnsi="Times New Roman" w:cs="Times New Roman"/>
          <w:sz w:val="24"/>
          <w:szCs w:val="24"/>
          <w:lang w:val="ro-RO"/>
        </w:rPr>
        <w:t xml:space="preserve">roduse de informații prelucrate. Lipsa informațiilor a dus, în timp, la </w:t>
      </w:r>
      <w:r w:rsidRPr="003D09E2">
        <w:rPr>
          <w:rFonts w:ascii="Times New Roman" w:eastAsia="Calibri" w:hAnsi="Times New Roman" w:cs="Times New Roman"/>
          <w:sz w:val="24"/>
          <w:szCs w:val="24"/>
          <w:lang w:val="ro-RO"/>
        </w:rPr>
        <w:t>vulnerabili</w:t>
      </w:r>
      <w:r>
        <w:rPr>
          <w:rFonts w:ascii="Times New Roman" w:eastAsia="Calibri" w:hAnsi="Times New Roman" w:cs="Times New Roman"/>
          <w:sz w:val="24"/>
          <w:szCs w:val="24"/>
          <w:lang w:val="ro-RO"/>
        </w:rPr>
        <w:t>zarea unor zone</w:t>
      </w:r>
      <w:r w:rsidRPr="003D09E2">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cum ar fi frontiera de est și </w:t>
      </w:r>
      <w:r w:rsidR="004833D7">
        <w:rPr>
          <w:rFonts w:ascii="Times New Roman" w:eastAsia="Calibri" w:hAnsi="Times New Roman" w:cs="Times New Roman"/>
          <w:sz w:val="24"/>
          <w:szCs w:val="24"/>
          <w:lang w:val="ro-RO"/>
        </w:rPr>
        <w:t xml:space="preserve">cea de </w:t>
      </w:r>
      <w:r>
        <w:rPr>
          <w:rFonts w:ascii="Times New Roman" w:eastAsia="Calibri" w:hAnsi="Times New Roman" w:cs="Times New Roman"/>
          <w:sz w:val="24"/>
          <w:szCs w:val="24"/>
          <w:lang w:val="ro-RO"/>
        </w:rPr>
        <w:t>nord.</w:t>
      </w:r>
    </w:p>
    <w:p w:rsidR="00D24BA2" w:rsidRDefault="00FC6CC7" w:rsidP="003D09E2">
      <w:pPr>
        <w:spacing w:after="0" w:line="36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Locul poliției judiciare </w:t>
      </w:r>
      <w:r w:rsidR="00D24BA2">
        <w:rPr>
          <w:rFonts w:ascii="Times New Roman" w:eastAsia="Calibri" w:hAnsi="Times New Roman" w:cs="Times New Roman"/>
          <w:sz w:val="24"/>
          <w:szCs w:val="24"/>
          <w:lang w:val="ro-RO"/>
        </w:rPr>
        <w:t>dedicată activităților judiciare (conform denumirii) a suscitat discuții de o mare perioadă de timp</w:t>
      </w:r>
      <w:r w:rsidR="005C2D13">
        <w:rPr>
          <w:rFonts w:ascii="Times New Roman" w:eastAsia="Calibri" w:hAnsi="Times New Roman" w:cs="Times New Roman"/>
          <w:sz w:val="24"/>
          <w:szCs w:val="24"/>
          <w:lang w:val="ro-RO"/>
        </w:rPr>
        <w:t xml:space="preserve">, refuzul recurent al Ministerului de interne de a crea acea </w:t>
      </w:r>
      <w:r w:rsidR="005C2D13">
        <w:rPr>
          <w:rFonts w:ascii="Times New Roman" w:eastAsia="Calibri" w:hAnsi="Times New Roman" w:cs="Times New Roman"/>
          <w:sz w:val="24"/>
          <w:szCs w:val="24"/>
          <w:lang w:val="ro-RO"/>
        </w:rPr>
        <w:lastRenderedPageBreak/>
        <w:t>structură dedicată sau chiar de a o muta în subordinea Procurorului Gen</w:t>
      </w:r>
      <w:r w:rsidR="004833D7">
        <w:rPr>
          <w:rFonts w:ascii="Times New Roman" w:eastAsia="Calibri" w:hAnsi="Times New Roman" w:cs="Times New Roman"/>
          <w:sz w:val="24"/>
          <w:szCs w:val="24"/>
          <w:lang w:val="ro-RO"/>
        </w:rPr>
        <w:t>e</w:t>
      </w:r>
      <w:r w:rsidR="005C2D13">
        <w:rPr>
          <w:rFonts w:ascii="Times New Roman" w:eastAsia="Calibri" w:hAnsi="Times New Roman" w:cs="Times New Roman"/>
          <w:sz w:val="24"/>
          <w:szCs w:val="24"/>
          <w:lang w:val="ro-RO"/>
        </w:rPr>
        <w:t>ral al PÎCCJ (sau a Ministrului justiției) fiind contrazis de singurul articol din Constituție care definește activitatea poliției judiciare – art. 132. Conducerea și supravegherea activității poliției judiciare de către procuror nu poate avea loc decât în interiorul sistemului judiciar. Orice altă abordare a acestei chestiuni este neconstituțională.</w:t>
      </w:r>
    </w:p>
    <w:p w:rsidR="00AE3A60" w:rsidRDefault="00AE3A60" w:rsidP="003D09E2">
      <w:pPr>
        <w:spacing w:after="0" w:line="36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5. </w:t>
      </w:r>
      <w:r w:rsidRPr="00AE3A60">
        <w:rPr>
          <w:rFonts w:ascii="Times New Roman" w:eastAsia="Calibri" w:hAnsi="Times New Roman" w:cs="Times New Roman"/>
          <w:sz w:val="24"/>
          <w:szCs w:val="24"/>
          <w:lang w:val="ro-RO"/>
        </w:rPr>
        <w:t>De-a lungul celor 12 ani de monitorizare, recomandările principale ale e</w:t>
      </w:r>
      <w:r>
        <w:rPr>
          <w:rFonts w:ascii="Times New Roman" w:eastAsia="Calibri" w:hAnsi="Times New Roman" w:cs="Times New Roman"/>
          <w:sz w:val="24"/>
          <w:szCs w:val="24"/>
          <w:lang w:val="ro-RO"/>
        </w:rPr>
        <w:t>xperților au fost cele privind popularea și restructurarea</w:t>
      </w:r>
      <w:r w:rsidRPr="00AE3A60">
        <w:rPr>
          <w:rFonts w:ascii="Times New Roman" w:eastAsia="Calibri" w:hAnsi="Times New Roman" w:cs="Times New Roman"/>
          <w:sz w:val="24"/>
          <w:szCs w:val="24"/>
          <w:lang w:val="ro-RO"/>
        </w:rPr>
        <w:t xml:space="preserve"> parchetelor</w:t>
      </w:r>
      <w:r w:rsidR="004833D7">
        <w:rPr>
          <w:rFonts w:ascii="Times New Roman" w:eastAsia="Calibri" w:hAnsi="Times New Roman" w:cs="Times New Roman"/>
          <w:sz w:val="24"/>
          <w:szCs w:val="24"/>
          <w:lang w:val="ro-RO"/>
        </w:rPr>
        <w:t>,</w:t>
      </w:r>
      <w:r w:rsidRPr="00AE3A60">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în sensul creării</w:t>
      </w:r>
      <w:r w:rsidRPr="00AE3A60">
        <w:rPr>
          <w:rFonts w:ascii="Times New Roman" w:eastAsia="Calibri" w:hAnsi="Times New Roman" w:cs="Times New Roman"/>
          <w:sz w:val="24"/>
          <w:szCs w:val="24"/>
          <w:lang w:val="ro-RO"/>
        </w:rPr>
        <w:t xml:space="preserve"> echilibrului dintre numărul de angajați și volumul de muncă.</w:t>
      </w:r>
      <w:r>
        <w:rPr>
          <w:rFonts w:ascii="Times New Roman" w:eastAsia="Calibri" w:hAnsi="Times New Roman" w:cs="Times New Roman"/>
          <w:sz w:val="24"/>
          <w:szCs w:val="24"/>
          <w:lang w:val="ro-RO"/>
        </w:rPr>
        <w:t xml:space="preserve"> În anul 2018</w:t>
      </w:r>
      <w:r w:rsidRPr="00AE3A60">
        <w:rPr>
          <w:rFonts w:ascii="Times New Roman" w:eastAsia="Calibri" w:hAnsi="Times New Roman" w:cs="Times New Roman"/>
          <w:sz w:val="24"/>
          <w:szCs w:val="24"/>
          <w:lang w:val="ro-RO"/>
        </w:rPr>
        <w:t xml:space="preserve"> au fost înregistrate pe rolul parchetelor </w:t>
      </w:r>
      <w:r w:rsidRPr="00AE3A60">
        <w:rPr>
          <w:rFonts w:ascii="Times New Roman" w:eastAsia="Calibri" w:hAnsi="Times New Roman" w:cs="Times New Roman"/>
          <w:sz w:val="24"/>
          <w:szCs w:val="24"/>
        </w:rPr>
        <w:t xml:space="preserve">1.753.540 </w:t>
      </w:r>
      <w:r>
        <w:rPr>
          <w:rFonts w:ascii="Times New Roman" w:eastAsia="Calibri" w:hAnsi="Times New Roman" w:cs="Times New Roman"/>
          <w:sz w:val="24"/>
          <w:szCs w:val="24"/>
          <w:lang w:val="ro-RO"/>
        </w:rPr>
        <w:t>dosare penale, cu 6</w:t>
      </w:r>
      <w:r w:rsidRPr="00AE3A60">
        <w:rPr>
          <w:rFonts w:ascii="Times New Roman" w:eastAsia="Calibri" w:hAnsi="Times New Roman" w:cs="Times New Roman"/>
          <w:sz w:val="24"/>
          <w:szCs w:val="24"/>
          <w:lang w:val="ro-RO"/>
        </w:rPr>
        <w:t>0% mai mult față de anul 2007, în condițiile</w:t>
      </w:r>
      <w:r>
        <w:rPr>
          <w:rFonts w:ascii="Times New Roman" w:eastAsia="Calibri" w:hAnsi="Times New Roman" w:cs="Times New Roman"/>
          <w:sz w:val="24"/>
          <w:szCs w:val="24"/>
          <w:lang w:val="ro-RO"/>
        </w:rPr>
        <w:t xml:space="preserve"> în care numărul de procurori este aproximativ </w:t>
      </w:r>
      <w:r w:rsidRPr="00AE3A60">
        <w:rPr>
          <w:rFonts w:ascii="Times New Roman" w:eastAsia="Calibri" w:hAnsi="Times New Roman" w:cs="Times New Roman"/>
          <w:sz w:val="24"/>
          <w:szCs w:val="24"/>
          <w:lang w:val="ro-RO"/>
        </w:rPr>
        <w:t xml:space="preserve">același. Deși numărul dosarelor soluționate de procurori a crescut, a crescut </w:t>
      </w:r>
      <w:r w:rsidRPr="00D67A20">
        <w:rPr>
          <w:rFonts w:ascii="Times New Roman" w:eastAsia="Calibri" w:hAnsi="Times New Roman" w:cs="Times New Roman"/>
          <w:sz w:val="24"/>
          <w:szCs w:val="24"/>
          <w:lang w:val="ro-RO"/>
        </w:rPr>
        <w:t>continuu și numărul dosarelor rămase nesoluționate. Proporțional a crescut și numărul dosarelor vechi.</w:t>
      </w:r>
      <w:r w:rsidR="00D67A20" w:rsidRPr="00D67A20">
        <w:rPr>
          <w:lang w:val="ro-RO"/>
        </w:rPr>
        <w:t xml:space="preserve"> </w:t>
      </w:r>
      <w:r w:rsidR="00D67A20" w:rsidRPr="00D67A20">
        <w:rPr>
          <w:rFonts w:ascii="Times New Roman" w:eastAsia="Calibri" w:hAnsi="Times New Roman" w:cs="Times New Roman"/>
          <w:sz w:val="24"/>
          <w:szCs w:val="24"/>
          <w:lang w:val="ro-RO"/>
        </w:rPr>
        <w:t xml:space="preserve"> Deși aceste discuții nu sunt noi și constituie de mulți ani motive de nemulțumire a celei mai mari părți  a procurorilor, volumul de muncă este  în continuare repartizat disproporționat atât între diferitele grade de jurisdicție, cum ar fi</w:t>
      </w:r>
      <w:r w:rsidR="004833D7">
        <w:rPr>
          <w:rFonts w:ascii="Times New Roman" w:eastAsia="Calibri" w:hAnsi="Times New Roman" w:cs="Times New Roman"/>
          <w:sz w:val="24"/>
          <w:szCs w:val="24"/>
          <w:lang w:val="ro-RO"/>
        </w:rPr>
        <w:t xml:space="preserve"> între</w:t>
      </w:r>
      <w:r w:rsidR="00D67A20" w:rsidRPr="00D67A20">
        <w:rPr>
          <w:rFonts w:ascii="Times New Roman" w:eastAsia="Calibri" w:hAnsi="Times New Roman" w:cs="Times New Roman"/>
          <w:sz w:val="24"/>
          <w:szCs w:val="24"/>
          <w:lang w:val="ro-RO"/>
        </w:rPr>
        <w:t xml:space="preserve"> parchete</w:t>
      </w:r>
      <w:r w:rsidR="004833D7">
        <w:rPr>
          <w:rFonts w:ascii="Times New Roman" w:eastAsia="Calibri" w:hAnsi="Times New Roman" w:cs="Times New Roman"/>
          <w:sz w:val="24"/>
          <w:szCs w:val="24"/>
          <w:lang w:val="ro-RO"/>
        </w:rPr>
        <w:t>le</w:t>
      </w:r>
      <w:r w:rsidR="00D67A20" w:rsidRPr="00D67A20">
        <w:rPr>
          <w:rFonts w:ascii="Times New Roman" w:eastAsia="Calibri" w:hAnsi="Times New Roman" w:cs="Times New Roman"/>
          <w:sz w:val="24"/>
          <w:szCs w:val="24"/>
          <w:lang w:val="ro-RO"/>
        </w:rPr>
        <w:t xml:space="preserve"> locale și parchete</w:t>
      </w:r>
      <w:r w:rsidR="004833D7">
        <w:rPr>
          <w:rFonts w:ascii="Times New Roman" w:eastAsia="Calibri" w:hAnsi="Times New Roman" w:cs="Times New Roman"/>
          <w:sz w:val="24"/>
          <w:szCs w:val="24"/>
          <w:lang w:val="ro-RO"/>
        </w:rPr>
        <w:t>le</w:t>
      </w:r>
      <w:r w:rsidR="00D67A20" w:rsidRPr="00D67A20">
        <w:rPr>
          <w:rFonts w:ascii="Times New Roman" w:eastAsia="Calibri" w:hAnsi="Times New Roman" w:cs="Times New Roman"/>
          <w:sz w:val="24"/>
          <w:szCs w:val="24"/>
          <w:lang w:val="ro-RO"/>
        </w:rPr>
        <w:t xml:space="preserve"> de pe lâng</w:t>
      </w:r>
      <w:r w:rsidR="004833D7">
        <w:rPr>
          <w:rFonts w:ascii="Times New Roman" w:eastAsia="Calibri" w:hAnsi="Times New Roman" w:cs="Times New Roman"/>
          <w:sz w:val="24"/>
          <w:szCs w:val="24"/>
          <w:lang w:val="ro-RO"/>
        </w:rPr>
        <w:t>ă</w:t>
      </w:r>
      <w:r w:rsidR="00D67A20" w:rsidRPr="00D67A20">
        <w:rPr>
          <w:rFonts w:ascii="Times New Roman" w:eastAsia="Calibri" w:hAnsi="Times New Roman" w:cs="Times New Roman"/>
          <w:sz w:val="24"/>
          <w:szCs w:val="24"/>
          <w:lang w:val="ro-RO"/>
        </w:rPr>
        <w:t xml:space="preserve"> curți de apel, cât și în cadrul aceluiași grad. Există, astfel, unități de parchet de pe lângă judecătorie în care un procuror are repartizate și 2000 de dosare anual și există altele în care un procuror are de soluționat într-un an </w:t>
      </w:r>
      <w:r w:rsidR="00D739A9">
        <w:rPr>
          <w:rFonts w:ascii="Times New Roman" w:eastAsia="Calibri" w:hAnsi="Times New Roman" w:cs="Times New Roman"/>
          <w:sz w:val="24"/>
          <w:szCs w:val="24"/>
          <w:lang w:val="ro-RO"/>
        </w:rPr>
        <w:t>sub</w:t>
      </w:r>
      <w:r w:rsidR="004833D7">
        <w:rPr>
          <w:rFonts w:ascii="Times New Roman" w:eastAsia="Calibri" w:hAnsi="Times New Roman" w:cs="Times New Roman"/>
          <w:b/>
          <w:color w:val="C00000"/>
          <w:sz w:val="24"/>
          <w:szCs w:val="24"/>
          <w:u w:val="single"/>
          <w:lang w:val="ro-RO"/>
        </w:rPr>
        <w:t xml:space="preserve"> </w:t>
      </w:r>
      <w:r w:rsidR="00D67A20" w:rsidRPr="00D67A20">
        <w:rPr>
          <w:rFonts w:ascii="Times New Roman" w:eastAsia="Calibri" w:hAnsi="Times New Roman" w:cs="Times New Roman"/>
          <w:sz w:val="24"/>
          <w:szCs w:val="24"/>
          <w:lang w:val="ro-RO"/>
        </w:rPr>
        <w:t>500 de dosare. Creșterea  în fiecare an a numărului de dosare</w:t>
      </w:r>
      <w:r w:rsidR="00D67A20">
        <w:rPr>
          <w:rFonts w:ascii="Times New Roman" w:eastAsia="Calibri" w:hAnsi="Times New Roman" w:cs="Times New Roman"/>
          <w:sz w:val="24"/>
          <w:szCs w:val="24"/>
          <w:lang w:val="ro-RO"/>
        </w:rPr>
        <w:t xml:space="preserve"> la unitățile mari de parchet se explică </w:t>
      </w:r>
      <w:r w:rsidR="00D67A20" w:rsidRPr="00D67A20">
        <w:rPr>
          <w:rFonts w:ascii="Times New Roman" w:eastAsia="Calibri" w:hAnsi="Times New Roman" w:cs="Times New Roman"/>
          <w:sz w:val="24"/>
          <w:szCs w:val="24"/>
          <w:lang w:val="ro-RO"/>
        </w:rPr>
        <w:t>prin faptul că resursele um</w:t>
      </w:r>
      <w:r w:rsidR="00D67A20">
        <w:rPr>
          <w:rFonts w:ascii="Times New Roman" w:eastAsia="Calibri" w:hAnsi="Times New Roman" w:cs="Times New Roman"/>
          <w:sz w:val="24"/>
          <w:szCs w:val="24"/>
          <w:lang w:val="ro-RO"/>
        </w:rPr>
        <w:t>ane nu sunt uniform repartizate, motivele fiind din</w:t>
      </w:r>
      <w:r w:rsidR="004833D7">
        <w:rPr>
          <w:rFonts w:ascii="Times New Roman" w:eastAsia="Calibri" w:hAnsi="Times New Roman" w:cs="Times New Roman"/>
          <w:sz w:val="24"/>
          <w:szCs w:val="24"/>
          <w:lang w:val="ro-RO"/>
        </w:rPr>
        <w:t>tre</w:t>
      </w:r>
      <w:r w:rsidR="00D67A20">
        <w:rPr>
          <w:rFonts w:ascii="Times New Roman" w:eastAsia="Calibri" w:hAnsi="Times New Roman" w:cs="Times New Roman"/>
          <w:sz w:val="24"/>
          <w:szCs w:val="24"/>
          <w:lang w:val="ro-RO"/>
        </w:rPr>
        <w:t xml:space="preserve"> cele mai diverse, de la faptul că orașele mici sunt neatractive, iar orașele mari, cu multă populație, </w:t>
      </w:r>
      <w:r w:rsidR="00EE2FBD">
        <w:rPr>
          <w:rFonts w:ascii="Times New Roman" w:eastAsia="Calibri" w:hAnsi="Times New Roman" w:cs="Times New Roman"/>
          <w:sz w:val="24"/>
          <w:szCs w:val="24"/>
          <w:lang w:val="ro-RO"/>
        </w:rPr>
        <w:t>sunt zone criminogene</w:t>
      </w:r>
      <w:r w:rsidR="00D67A20" w:rsidRPr="00D67A20">
        <w:rPr>
          <w:rFonts w:ascii="Times New Roman" w:eastAsia="Calibri" w:hAnsi="Times New Roman" w:cs="Times New Roman"/>
          <w:sz w:val="24"/>
          <w:szCs w:val="24"/>
          <w:lang w:val="ro-RO"/>
        </w:rPr>
        <w:t>.</w:t>
      </w:r>
      <w:r w:rsidR="00EE2FBD">
        <w:rPr>
          <w:rFonts w:ascii="Times New Roman" w:eastAsia="Calibri" w:hAnsi="Times New Roman" w:cs="Times New Roman"/>
          <w:sz w:val="24"/>
          <w:szCs w:val="24"/>
          <w:lang w:val="ro-RO"/>
        </w:rPr>
        <w:t xml:space="preserve"> O potențială soluție ar fi desființarea parchetelor și instanțelor mici.</w:t>
      </w:r>
    </w:p>
    <w:p w:rsidR="00DB3D82" w:rsidRDefault="00DB3D82" w:rsidP="003D09E2">
      <w:pPr>
        <w:spacing w:after="0" w:line="36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 problemă nouă în această materie e dată de faptul că noile modificări legislative au transferat decizia delegării în interiorul Ministerului Public de la Procurorul General la Secția de procurori a CSM, fapt care face practic imposibilă adoptarea unei strategii a organizării resurselor umane.</w:t>
      </w:r>
    </w:p>
    <w:p w:rsidR="00EE2FBD" w:rsidRDefault="00EE2FBD" w:rsidP="00D24BA2">
      <w:pPr>
        <w:spacing w:after="0" w:line="36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w:t>
      </w:r>
      <w:r w:rsidRPr="00EE2FBD">
        <w:t xml:space="preserve"> </w:t>
      </w:r>
      <w:r>
        <w:rPr>
          <w:rFonts w:ascii="Times New Roman" w:eastAsia="Calibri" w:hAnsi="Times New Roman" w:cs="Times New Roman"/>
          <w:sz w:val="24"/>
          <w:szCs w:val="24"/>
          <w:lang w:val="ro-RO"/>
        </w:rPr>
        <w:t>Deși probabil deficiențele logistice sau de buget sunt de natură să umple un spațiu mult mai generos, consider că cele mai importante lipsuri ar fi create de i</w:t>
      </w:r>
      <w:r w:rsidRPr="00EE2FBD">
        <w:rPr>
          <w:rFonts w:ascii="Times New Roman" w:eastAsia="Calibri" w:hAnsi="Times New Roman" w:cs="Times New Roman"/>
          <w:sz w:val="24"/>
          <w:szCs w:val="24"/>
          <w:lang w:val="ro-RO"/>
        </w:rPr>
        <w:t>nsuficienta spa</w:t>
      </w:r>
      <w:r w:rsidR="004833D7">
        <w:rPr>
          <w:rFonts w:ascii="Times New Roman" w:eastAsia="Calibri" w:hAnsi="Times New Roman" w:cs="Times New Roman"/>
          <w:sz w:val="24"/>
          <w:szCs w:val="24"/>
          <w:lang w:val="ro-RO"/>
        </w:rPr>
        <w:t>ț</w:t>
      </w:r>
      <w:r w:rsidRPr="00EE2FBD">
        <w:rPr>
          <w:rFonts w:ascii="Times New Roman" w:eastAsia="Calibri" w:hAnsi="Times New Roman" w:cs="Times New Roman"/>
          <w:sz w:val="24"/>
          <w:szCs w:val="24"/>
          <w:lang w:val="ro-RO"/>
        </w:rPr>
        <w:t>iilor de birouri pentru procurori, grefieri</w:t>
      </w:r>
      <w:r w:rsidRPr="00D739A9">
        <w:rPr>
          <w:rFonts w:ascii="Times New Roman" w:eastAsia="Calibri" w:hAnsi="Times New Roman" w:cs="Times New Roman"/>
          <w:b/>
          <w:sz w:val="24"/>
          <w:szCs w:val="24"/>
          <w:lang w:val="ro-RO"/>
        </w:rPr>
        <w:t xml:space="preserve">, </w:t>
      </w:r>
      <w:r w:rsidR="004833D7" w:rsidRPr="00D739A9">
        <w:rPr>
          <w:rFonts w:ascii="Times New Roman" w:eastAsia="Calibri" w:hAnsi="Times New Roman" w:cs="Times New Roman"/>
          <w:sz w:val="24"/>
          <w:szCs w:val="24"/>
          <w:lang w:val="ro-RO"/>
        </w:rPr>
        <w:t xml:space="preserve">celălalt </w:t>
      </w:r>
      <w:r w:rsidRPr="00EE2FBD">
        <w:rPr>
          <w:rFonts w:ascii="Times New Roman" w:eastAsia="Calibri" w:hAnsi="Times New Roman" w:cs="Times New Roman"/>
          <w:sz w:val="24"/>
          <w:szCs w:val="24"/>
          <w:lang w:val="ro-RO"/>
        </w:rPr>
        <w:t>personal auxiliar de specialitate, compartimente de documente clasificate sau arhiv</w:t>
      </w:r>
      <w:r w:rsidR="004833D7">
        <w:rPr>
          <w:rFonts w:ascii="Times New Roman" w:eastAsia="Calibri" w:hAnsi="Times New Roman" w:cs="Times New Roman"/>
          <w:sz w:val="24"/>
          <w:szCs w:val="24"/>
          <w:lang w:val="ro-RO"/>
        </w:rPr>
        <w:t>ă</w:t>
      </w:r>
      <w:r w:rsidRPr="00EE2FBD">
        <w:rPr>
          <w:rFonts w:ascii="Times New Roman" w:eastAsia="Calibri" w:hAnsi="Times New Roman" w:cs="Times New Roman"/>
          <w:sz w:val="24"/>
          <w:szCs w:val="24"/>
          <w:lang w:val="ro-RO"/>
        </w:rPr>
        <w:t xml:space="preserve">, depozitarea corpurilor delicte </w:t>
      </w:r>
      <w:r>
        <w:rPr>
          <w:rFonts w:ascii="Times New Roman" w:eastAsia="Calibri" w:hAnsi="Times New Roman" w:cs="Times New Roman"/>
          <w:sz w:val="24"/>
          <w:szCs w:val="24"/>
          <w:lang w:val="ro-RO"/>
        </w:rPr>
        <w:t>la cele mai multe dintre parchetele din țară. Există și unele parchete care au condiții bune de muncă. Problemele bugetare s-au acutizat în ultimii 2 anii, iar în 2019, deși primul trimestru e aproape încheiat, Ministerul Public nu are intrate în conturi sumele de bani repartizate. Acest lucru a creat mari probleme logistice în cadrul parchetelor, de la neplata expertizelor la neplata utilităților sau chiar a produselor strict necesare desf</w:t>
      </w:r>
      <w:r w:rsidR="00D24BA2">
        <w:rPr>
          <w:rFonts w:ascii="Times New Roman" w:eastAsia="Calibri" w:hAnsi="Times New Roman" w:cs="Times New Roman"/>
          <w:sz w:val="24"/>
          <w:szCs w:val="24"/>
          <w:lang w:val="ro-RO"/>
        </w:rPr>
        <w:t>ășurării normale a activității. O altă chestiune este reprezentată de i</w:t>
      </w:r>
      <w:r w:rsidRPr="00EE2FBD">
        <w:rPr>
          <w:rFonts w:ascii="Times New Roman" w:eastAsia="Calibri" w:hAnsi="Times New Roman" w:cs="Times New Roman"/>
          <w:sz w:val="24"/>
          <w:szCs w:val="24"/>
          <w:lang w:val="ro-RO"/>
        </w:rPr>
        <w:t xml:space="preserve">nsuficiența dotării </w:t>
      </w:r>
      <w:r w:rsidR="00D24BA2">
        <w:rPr>
          <w:rFonts w:ascii="Times New Roman" w:eastAsia="Calibri" w:hAnsi="Times New Roman" w:cs="Times New Roman"/>
          <w:sz w:val="24"/>
          <w:szCs w:val="24"/>
          <w:lang w:val="ro-RO"/>
        </w:rPr>
        <w:t xml:space="preserve">tehnice. Exemplificând, este cunoscut </w:t>
      </w:r>
      <w:r w:rsidRPr="00EE2FBD">
        <w:rPr>
          <w:rFonts w:ascii="Times New Roman" w:eastAsia="Calibri" w:hAnsi="Times New Roman" w:cs="Times New Roman"/>
          <w:sz w:val="24"/>
          <w:szCs w:val="24"/>
          <w:lang w:val="ro-RO"/>
        </w:rPr>
        <w:t>faptul că structurile polițienești și or</w:t>
      </w:r>
      <w:r w:rsidR="00D24BA2">
        <w:rPr>
          <w:rFonts w:ascii="Times New Roman" w:eastAsia="Calibri" w:hAnsi="Times New Roman" w:cs="Times New Roman"/>
          <w:sz w:val="24"/>
          <w:szCs w:val="24"/>
          <w:lang w:val="ro-RO"/>
        </w:rPr>
        <w:t>ganele vamale</w:t>
      </w:r>
      <w:r w:rsidRPr="00EE2FBD">
        <w:rPr>
          <w:rFonts w:ascii="Times New Roman" w:eastAsia="Calibri" w:hAnsi="Times New Roman" w:cs="Times New Roman"/>
          <w:sz w:val="24"/>
          <w:szCs w:val="24"/>
          <w:lang w:val="ro-RO"/>
        </w:rPr>
        <w:t xml:space="preserve"> nu dețin în </w:t>
      </w:r>
      <w:r w:rsidRPr="00EE2FBD">
        <w:rPr>
          <w:rFonts w:ascii="Times New Roman" w:eastAsia="Calibri" w:hAnsi="Times New Roman" w:cs="Times New Roman"/>
          <w:sz w:val="24"/>
          <w:szCs w:val="24"/>
          <w:lang w:val="ro-RO"/>
        </w:rPr>
        <w:lastRenderedPageBreak/>
        <w:t xml:space="preserve">proximitatea </w:t>
      </w:r>
      <w:r w:rsidR="00D24BA2">
        <w:rPr>
          <w:rFonts w:ascii="Times New Roman" w:eastAsia="Calibri" w:hAnsi="Times New Roman" w:cs="Times New Roman"/>
          <w:sz w:val="24"/>
          <w:szCs w:val="24"/>
          <w:lang w:val="ro-RO"/>
        </w:rPr>
        <w:t>multor puncte vamale</w:t>
      </w:r>
      <w:r w:rsidRPr="00EE2FBD">
        <w:rPr>
          <w:rFonts w:ascii="Times New Roman" w:eastAsia="Calibri" w:hAnsi="Times New Roman" w:cs="Times New Roman"/>
          <w:sz w:val="24"/>
          <w:szCs w:val="24"/>
          <w:lang w:val="ro-RO"/>
        </w:rPr>
        <w:t xml:space="preserve"> un scanner care să permită verificarea autovehiculelor</w:t>
      </w:r>
      <w:r w:rsidR="00D24BA2">
        <w:rPr>
          <w:rFonts w:ascii="Times New Roman" w:eastAsia="Calibri" w:hAnsi="Times New Roman" w:cs="Times New Roman"/>
          <w:sz w:val="24"/>
          <w:szCs w:val="24"/>
          <w:lang w:val="ro-RO"/>
        </w:rPr>
        <w:t xml:space="preserve"> în care ar  putea fi disimulată marfă destinată contrabandei, evaziunii fiscale sau traficului de orice fel. </w:t>
      </w:r>
    </w:p>
    <w:p w:rsidR="00D24BA2" w:rsidRDefault="00D24BA2" w:rsidP="00D24BA2">
      <w:pPr>
        <w:spacing w:after="0" w:line="36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 altă problemă, care atinge și activitatea de urmărire penală, o reprezintă i</w:t>
      </w:r>
      <w:r w:rsidRPr="00D24BA2">
        <w:rPr>
          <w:rFonts w:ascii="Times New Roman" w:eastAsia="Calibri" w:hAnsi="Times New Roman" w:cs="Times New Roman"/>
          <w:sz w:val="24"/>
          <w:szCs w:val="24"/>
          <w:lang w:val="ro-RO"/>
        </w:rPr>
        <w:t xml:space="preserve">nsuficienta dotare a unităților din cadrul </w:t>
      </w:r>
      <w:r>
        <w:rPr>
          <w:rFonts w:ascii="Times New Roman" w:eastAsia="Calibri" w:hAnsi="Times New Roman" w:cs="Times New Roman"/>
          <w:sz w:val="24"/>
          <w:szCs w:val="24"/>
          <w:lang w:val="ro-RO"/>
        </w:rPr>
        <w:t>Ministerului Public</w:t>
      </w:r>
      <w:r w:rsidRPr="00D24BA2">
        <w:rPr>
          <w:rFonts w:ascii="Times New Roman" w:eastAsia="Calibri" w:hAnsi="Times New Roman" w:cs="Times New Roman"/>
          <w:sz w:val="24"/>
          <w:szCs w:val="24"/>
          <w:lang w:val="ro-RO"/>
        </w:rPr>
        <w:t xml:space="preserve"> cu mijloace tehnice de înregistrare audio/video a procedurilor de audiere pentru respectarea disp. art. 110 alin. 5 C.p.p. , art. 111 alin.3  C.p. , art. 112 alin.1 C.p.p., art. 123 alin.2 C.p.p. ș.a., potrivit cărora în cursul urmăririi penale, audierile  se înregistrează cu mijloace tehnice audio sau audio</w:t>
      </w:r>
      <w:r w:rsidR="004833D7">
        <w:rPr>
          <w:rFonts w:ascii="Times New Roman" w:eastAsia="Calibri" w:hAnsi="Times New Roman" w:cs="Times New Roman"/>
          <w:sz w:val="24"/>
          <w:szCs w:val="24"/>
          <w:lang w:val="ro-RO"/>
        </w:rPr>
        <w:t>-</w:t>
      </w:r>
      <w:r w:rsidRPr="00D24BA2">
        <w:rPr>
          <w:rFonts w:ascii="Times New Roman" w:eastAsia="Calibri" w:hAnsi="Times New Roman" w:cs="Times New Roman"/>
          <w:sz w:val="24"/>
          <w:szCs w:val="24"/>
          <w:lang w:val="ro-RO"/>
        </w:rPr>
        <w:t>video.</w:t>
      </w:r>
      <w:r>
        <w:rPr>
          <w:rFonts w:ascii="Times New Roman" w:eastAsia="Calibri" w:hAnsi="Times New Roman" w:cs="Times New Roman"/>
          <w:sz w:val="24"/>
          <w:szCs w:val="24"/>
          <w:lang w:val="ro-RO"/>
        </w:rPr>
        <w:t xml:space="preserve"> </w:t>
      </w:r>
    </w:p>
    <w:p w:rsidR="00D24BA2" w:rsidRPr="00D24BA2" w:rsidRDefault="00D24BA2" w:rsidP="00D24BA2">
      <w:pPr>
        <w:spacing w:after="0" w:line="36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7.  În consonanță cu vulnerabilitățile enumerate </w:t>
      </w:r>
      <w:r w:rsidRPr="00D24BA2">
        <w:rPr>
          <w:rFonts w:ascii="Times New Roman" w:eastAsia="Calibri" w:hAnsi="Times New Roman" w:cs="Times New Roman"/>
          <w:i/>
          <w:sz w:val="24"/>
          <w:szCs w:val="24"/>
          <w:lang w:val="ro-RO"/>
        </w:rPr>
        <w:t>supra</w:t>
      </w:r>
      <w:r>
        <w:rPr>
          <w:rFonts w:ascii="Times New Roman" w:eastAsia="Calibri" w:hAnsi="Times New Roman" w:cs="Times New Roman"/>
          <w:sz w:val="24"/>
          <w:szCs w:val="24"/>
          <w:lang w:val="ro-RO"/>
        </w:rPr>
        <w:t>, la l</w:t>
      </w:r>
      <w:r w:rsidRPr="00D24BA2">
        <w:rPr>
          <w:rFonts w:ascii="Times New Roman" w:eastAsia="Calibri" w:hAnsi="Times New Roman" w:cs="Times New Roman"/>
          <w:sz w:val="24"/>
          <w:szCs w:val="24"/>
          <w:lang w:val="ro-RO"/>
        </w:rPr>
        <w:t xml:space="preserve">ipsa scannerelor </w:t>
      </w:r>
      <w:r w:rsidR="00060BF8">
        <w:rPr>
          <w:rFonts w:ascii="Times New Roman" w:eastAsia="Calibri" w:hAnsi="Times New Roman" w:cs="Times New Roman"/>
          <w:sz w:val="24"/>
          <w:szCs w:val="24"/>
          <w:lang w:val="ro-RO"/>
        </w:rPr>
        <w:t>î</w:t>
      </w:r>
      <w:r w:rsidRPr="00D24BA2">
        <w:rPr>
          <w:rFonts w:ascii="Times New Roman" w:eastAsia="Calibri" w:hAnsi="Times New Roman" w:cs="Times New Roman"/>
          <w:sz w:val="24"/>
          <w:szCs w:val="24"/>
          <w:lang w:val="ro-RO"/>
        </w:rPr>
        <w:t>n punctele de t</w:t>
      </w:r>
      <w:r>
        <w:rPr>
          <w:rFonts w:ascii="Times New Roman" w:eastAsia="Calibri" w:hAnsi="Times New Roman" w:cs="Times New Roman"/>
          <w:sz w:val="24"/>
          <w:szCs w:val="24"/>
          <w:lang w:val="ro-RO"/>
        </w:rPr>
        <w:t xml:space="preserve">recere a frontierei sau </w:t>
      </w:r>
      <w:r w:rsidR="00060BF8">
        <w:rPr>
          <w:rFonts w:ascii="Times New Roman" w:eastAsia="Calibri" w:hAnsi="Times New Roman" w:cs="Times New Roman"/>
          <w:sz w:val="24"/>
          <w:szCs w:val="24"/>
          <w:lang w:val="ro-RO"/>
        </w:rPr>
        <w:t>î</w:t>
      </w:r>
      <w:r>
        <w:rPr>
          <w:rFonts w:ascii="Times New Roman" w:eastAsia="Calibri" w:hAnsi="Times New Roman" w:cs="Times New Roman"/>
          <w:sz w:val="24"/>
          <w:szCs w:val="24"/>
          <w:lang w:val="ro-RO"/>
        </w:rPr>
        <w:t>n vam</w:t>
      </w:r>
      <w:r w:rsidR="00060BF8">
        <w:rPr>
          <w:rFonts w:ascii="Times New Roman" w:eastAsia="Calibri" w:hAnsi="Times New Roman" w:cs="Times New Roman"/>
          <w:sz w:val="24"/>
          <w:szCs w:val="24"/>
          <w:lang w:val="ro-RO"/>
        </w:rPr>
        <w:t>ă</w:t>
      </w:r>
      <w:r>
        <w:rPr>
          <w:rFonts w:ascii="Times New Roman" w:eastAsia="Calibri" w:hAnsi="Times New Roman" w:cs="Times New Roman"/>
          <w:sz w:val="24"/>
          <w:szCs w:val="24"/>
          <w:lang w:val="ro-RO"/>
        </w:rPr>
        <w:t xml:space="preserve"> se adaugă</w:t>
      </w:r>
      <w:r w:rsidRPr="00D24BA2">
        <w:rPr>
          <w:rFonts w:ascii="Times New Roman" w:eastAsia="Calibri" w:hAnsi="Times New Roman" w:cs="Times New Roman"/>
          <w:sz w:val="24"/>
          <w:szCs w:val="24"/>
          <w:lang w:val="ro-RO"/>
        </w:rPr>
        <w:t xml:space="preserve"> lipsa softurilor adecvate de facilitare a accesului la dispozitivele electronice de stocare, lipsa aplicațiilor IT de recunoaștere faciala </w:t>
      </w:r>
      <w:r>
        <w:rPr>
          <w:rFonts w:ascii="Times New Roman" w:eastAsia="Calibri" w:hAnsi="Times New Roman" w:cs="Times New Roman"/>
          <w:sz w:val="24"/>
          <w:szCs w:val="24"/>
          <w:lang w:val="ro-RO"/>
        </w:rPr>
        <w:t xml:space="preserve"> sau a altor traking-uri care sunt comune în logistica parchetelor/poliției din țările europene.</w:t>
      </w:r>
    </w:p>
    <w:p w:rsidR="00D24BA2" w:rsidRDefault="00D24BA2" w:rsidP="00D24BA2">
      <w:pPr>
        <w:spacing w:after="0" w:line="36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 de altă parte,</w:t>
      </w:r>
      <w:r w:rsidRPr="00D24BA2">
        <w:rPr>
          <w:rFonts w:ascii="Times New Roman" w:eastAsia="Calibri" w:hAnsi="Times New Roman" w:cs="Times New Roman"/>
          <w:sz w:val="24"/>
          <w:szCs w:val="24"/>
          <w:lang w:val="ro-RO"/>
        </w:rPr>
        <w:t xml:space="preserve"> persoanele cercetate utilizează rețele de socializare sau aplicații de comunicare prin </w:t>
      </w:r>
      <w:r w:rsidR="00060BF8">
        <w:rPr>
          <w:rFonts w:ascii="Times New Roman" w:eastAsia="Calibri" w:hAnsi="Times New Roman" w:cs="Times New Roman"/>
          <w:sz w:val="24"/>
          <w:szCs w:val="24"/>
          <w:lang w:val="ro-RO"/>
        </w:rPr>
        <w:t>i</w:t>
      </w:r>
      <w:r w:rsidRPr="00D24BA2">
        <w:rPr>
          <w:rFonts w:ascii="Times New Roman" w:eastAsia="Calibri" w:hAnsi="Times New Roman" w:cs="Times New Roman"/>
          <w:sz w:val="24"/>
          <w:szCs w:val="24"/>
          <w:lang w:val="ro-RO"/>
        </w:rPr>
        <w:t>nternet, a căror interceptare conduce doar la obținerea uno</w:t>
      </w:r>
      <w:r>
        <w:rPr>
          <w:rFonts w:ascii="Times New Roman" w:eastAsia="Calibri" w:hAnsi="Times New Roman" w:cs="Times New Roman"/>
          <w:sz w:val="24"/>
          <w:szCs w:val="24"/>
          <w:lang w:val="ro-RO"/>
        </w:rPr>
        <w:t>r date informatice criptate,</w:t>
      </w:r>
      <w:r w:rsidRPr="00D24BA2">
        <w:rPr>
          <w:rFonts w:ascii="Times New Roman" w:eastAsia="Calibri" w:hAnsi="Times New Roman" w:cs="Times New Roman"/>
          <w:sz w:val="24"/>
          <w:szCs w:val="24"/>
          <w:lang w:val="ro-RO"/>
        </w:rPr>
        <w:t xml:space="preserve"> r</w:t>
      </w:r>
      <w:r>
        <w:rPr>
          <w:rFonts w:ascii="Times New Roman" w:eastAsia="Calibri" w:hAnsi="Times New Roman" w:cs="Times New Roman"/>
          <w:sz w:val="24"/>
          <w:szCs w:val="24"/>
          <w:lang w:val="ro-RO"/>
        </w:rPr>
        <w:t>ezultatul decriptării acestora fiind</w:t>
      </w:r>
      <w:r w:rsidR="00060BF8">
        <w:rPr>
          <w:rFonts w:ascii="Times New Roman" w:eastAsia="Calibri" w:hAnsi="Times New Roman" w:cs="Times New Roman"/>
          <w:sz w:val="24"/>
          <w:szCs w:val="24"/>
          <w:lang w:val="ro-RO"/>
        </w:rPr>
        <w:t>,</w:t>
      </w:r>
      <w:r w:rsidRPr="00D24BA2">
        <w:rPr>
          <w:rFonts w:ascii="Times New Roman" w:eastAsia="Calibri" w:hAnsi="Times New Roman" w:cs="Times New Roman"/>
          <w:sz w:val="24"/>
          <w:szCs w:val="24"/>
          <w:lang w:val="ro-RO"/>
        </w:rPr>
        <w:t xml:space="preserve"> de regulă</w:t>
      </w:r>
      <w:r w:rsidR="00060BF8">
        <w:rPr>
          <w:rFonts w:ascii="Times New Roman" w:eastAsia="Calibri" w:hAnsi="Times New Roman" w:cs="Times New Roman"/>
          <w:sz w:val="24"/>
          <w:szCs w:val="24"/>
          <w:lang w:val="ro-RO"/>
        </w:rPr>
        <w:t>,</w:t>
      </w:r>
      <w:r w:rsidRPr="00D24BA2">
        <w:rPr>
          <w:rFonts w:ascii="Times New Roman" w:eastAsia="Calibri" w:hAnsi="Times New Roman" w:cs="Times New Roman"/>
          <w:sz w:val="24"/>
          <w:szCs w:val="24"/>
          <w:lang w:val="ro-RO"/>
        </w:rPr>
        <w:t xml:space="preserve"> fără </w:t>
      </w:r>
      <w:r>
        <w:rPr>
          <w:rFonts w:ascii="Times New Roman" w:eastAsia="Calibri" w:hAnsi="Times New Roman" w:cs="Times New Roman"/>
          <w:sz w:val="24"/>
          <w:szCs w:val="24"/>
          <w:lang w:val="ro-RO"/>
        </w:rPr>
        <w:t>relevanță în cauză.</w:t>
      </w:r>
      <w:r w:rsidRPr="00D24BA2">
        <w:rPr>
          <w:rFonts w:ascii="Times New Roman" w:eastAsia="Calibri" w:hAnsi="Times New Roman" w:cs="Times New Roman"/>
          <w:sz w:val="24"/>
          <w:szCs w:val="24"/>
          <w:lang w:val="ro-RO"/>
        </w:rPr>
        <w:t xml:space="preserve"> În acest context, se impune cât mai repede achiziționarea tehnicii </w:t>
      </w:r>
      <w:r w:rsidR="00060BF8">
        <w:rPr>
          <w:rFonts w:ascii="Times New Roman" w:eastAsia="Calibri" w:hAnsi="Times New Roman" w:cs="Times New Roman"/>
          <w:sz w:val="24"/>
          <w:szCs w:val="24"/>
          <w:lang w:val="ro-RO"/>
        </w:rPr>
        <w:t>și</w:t>
      </w:r>
      <w:r w:rsidRPr="00D24BA2">
        <w:rPr>
          <w:rFonts w:ascii="Times New Roman" w:eastAsia="Calibri" w:hAnsi="Times New Roman" w:cs="Times New Roman"/>
          <w:sz w:val="24"/>
          <w:szCs w:val="24"/>
          <w:lang w:val="ro-RO"/>
        </w:rPr>
        <w:t xml:space="preserve"> a programelor informatice necesare interceptării traficului de date </w:t>
      </w:r>
      <w:r w:rsidR="00060BF8">
        <w:rPr>
          <w:rFonts w:ascii="Times New Roman" w:eastAsia="Calibri" w:hAnsi="Times New Roman" w:cs="Times New Roman"/>
          <w:sz w:val="24"/>
          <w:szCs w:val="24"/>
          <w:lang w:val="ro-RO"/>
        </w:rPr>
        <w:t>ș</w:t>
      </w:r>
      <w:r w:rsidRPr="00D24BA2">
        <w:rPr>
          <w:rFonts w:ascii="Times New Roman" w:eastAsia="Calibri" w:hAnsi="Times New Roman" w:cs="Times New Roman"/>
          <w:sz w:val="24"/>
          <w:szCs w:val="24"/>
          <w:lang w:val="ro-RO"/>
        </w:rPr>
        <w:t>i valorificării rezultatelor unor asemenea interceptări.</w:t>
      </w:r>
    </w:p>
    <w:p w:rsidR="005C2D13" w:rsidRPr="005C2D13" w:rsidRDefault="005C2D13" w:rsidP="005C2D13">
      <w:pPr>
        <w:spacing w:after="0" w:line="36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8. </w:t>
      </w:r>
      <w:r w:rsidRPr="005C2D13">
        <w:rPr>
          <w:rFonts w:ascii="Times New Roman" w:eastAsia="Calibri" w:hAnsi="Times New Roman" w:cs="Times New Roman"/>
          <w:sz w:val="24"/>
          <w:szCs w:val="24"/>
          <w:lang w:val="ro-RO"/>
        </w:rPr>
        <w:t xml:space="preserve">Întreaga abordare a conceptului de evaluare </w:t>
      </w:r>
      <w:r w:rsidR="00060BF8">
        <w:rPr>
          <w:rFonts w:ascii="Times New Roman" w:eastAsia="Calibri" w:hAnsi="Times New Roman" w:cs="Times New Roman"/>
          <w:sz w:val="24"/>
          <w:szCs w:val="24"/>
          <w:lang w:val="ro-RO"/>
        </w:rPr>
        <w:t>ș</w:t>
      </w:r>
      <w:r w:rsidRPr="005C2D13">
        <w:rPr>
          <w:rFonts w:ascii="Times New Roman" w:eastAsia="Calibri" w:hAnsi="Times New Roman" w:cs="Times New Roman"/>
          <w:sz w:val="24"/>
          <w:szCs w:val="24"/>
          <w:lang w:val="ro-RO"/>
        </w:rPr>
        <w:t>i pregătire profesional</w:t>
      </w:r>
      <w:r w:rsidR="00060BF8">
        <w:rPr>
          <w:rFonts w:ascii="Times New Roman" w:eastAsia="Calibri" w:hAnsi="Times New Roman" w:cs="Times New Roman"/>
          <w:sz w:val="24"/>
          <w:szCs w:val="24"/>
          <w:lang w:val="ro-RO"/>
        </w:rPr>
        <w:t>ă</w:t>
      </w:r>
      <w:r w:rsidRPr="005C2D13">
        <w:rPr>
          <w:rFonts w:ascii="Times New Roman" w:eastAsia="Calibri" w:hAnsi="Times New Roman" w:cs="Times New Roman"/>
          <w:sz w:val="24"/>
          <w:szCs w:val="24"/>
          <w:lang w:val="ro-RO"/>
        </w:rPr>
        <w:t xml:space="preserve"> trebuie redimensionat</w:t>
      </w:r>
      <w:r w:rsidR="00060BF8">
        <w:rPr>
          <w:rFonts w:ascii="Times New Roman" w:eastAsia="Calibri" w:hAnsi="Times New Roman" w:cs="Times New Roman"/>
          <w:sz w:val="24"/>
          <w:szCs w:val="24"/>
          <w:lang w:val="ro-RO"/>
        </w:rPr>
        <w:t>ă</w:t>
      </w:r>
      <w:r w:rsidRPr="005C2D13">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și reconsiderată </w:t>
      </w:r>
      <w:r w:rsidRPr="005C2D13">
        <w:rPr>
          <w:rFonts w:ascii="Times New Roman" w:eastAsia="Calibri" w:hAnsi="Times New Roman" w:cs="Times New Roman"/>
          <w:sz w:val="24"/>
          <w:szCs w:val="24"/>
          <w:lang w:val="ro-RO"/>
        </w:rPr>
        <w:t>pentru a asigura pe de o parte cunoașterea permanent</w:t>
      </w:r>
      <w:r w:rsidR="00060BF8">
        <w:rPr>
          <w:rFonts w:ascii="Times New Roman" w:eastAsia="Calibri" w:hAnsi="Times New Roman" w:cs="Times New Roman"/>
          <w:sz w:val="24"/>
          <w:szCs w:val="24"/>
          <w:lang w:val="ro-RO"/>
        </w:rPr>
        <w:t>ă</w:t>
      </w:r>
      <w:r w:rsidRPr="005C2D13">
        <w:rPr>
          <w:rFonts w:ascii="Times New Roman" w:eastAsia="Calibri" w:hAnsi="Times New Roman" w:cs="Times New Roman"/>
          <w:sz w:val="24"/>
          <w:szCs w:val="24"/>
          <w:lang w:val="ro-RO"/>
        </w:rPr>
        <w:t xml:space="preserve"> </w:t>
      </w:r>
      <w:r w:rsidR="00060BF8">
        <w:rPr>
          <w:rFonts w:ascii="Times New Roman" w:eastAsia="Calibri" w:hAnsi="Times New Roman" w:cs="Times New Roman"/>
          <w:sz w:val="24"/>
          <w:szCs w:val="24"/>
          <w:lang w:val="ro-RO"/>
        </w:rPr>
        <w:t>î</w:t>
      </w:r>
      <w:r w:rsidRPr="005C2D13">
        <w:rPr>
          <w:rFonts w:ascii="Times New Roman" w:eastAsia="Calibri" w:hAnsi="Times New Roman" w:cs="Times New Roman"/>
          <w:sz w:val="24"/>
          <w:szCs w:val="24"/>
          <w:lang w:val="ro-RO"/>
        </w:rPr>
        <w:t xml:space="preserve">n interiorul </w:t>
      </w:r>
      <w:r>
        <w:rPr>
          <w:rFonts w:ascii="Times New Roman" w:eastAsia="Calibri" w:hAnsi="Times New Roman" w:cs="Times New Roman"/>
          <w:sz w:val="24"/>
          <w:szCs w:val="24"/>
          <w:lang w:val="ro-RO"/>
        </w:rPr>
        <w:t>Ministerului Public</w:t>
      </w:r>
      <w:r w:rsidRPr="005C2D13">
        <w:rPr>
          <w:rFonts w:ascii="Times New Roman" w:eastAsia="Calibri" w:hAnsi="Times New Roman" w:cs="Times New Roman"/>
          <w:sz w:val="24"/>
          <w:szCs w:val="24"/>
          <w:lang w:val="ro-RO"/>
        </w:rPr>
        <w:t xml:space="preserve"> a limitelor capabilităților de abordare specializat</w:t>
      </w:r>
      <w:r w:rsidR="00060BF8">
        <w:rPr>
          <w:rFonts w:ascii="Times New Roman" w:eastAsia="Calibri" w:hAnsi="Times New Roman" w:cs="Times New Roman"/>
          <w:sz w:val="24"/>
          <w:szCs w:val="24"/>
          <w:lang w:val="ro-RO"/>
        </w:rPr>
        <w:t>ă</w:t>
      </w:r>
      <w:r w:rsidRPr="005C2D13">
        <w:rPr>
          <w:rFonts w:ascii="Times New Roman" w:eastAsia="Calibri" w:hAnsi="Times New Roman" w:cs="Times New Roman"/>
          <w:sz w:val="24"/>
          <w:szCs w:val="24"/>
          <w:lang w:val="ro-RO"/>
        </w:rPr>
        <w:t xml:space="preserve"> a unor spe</w:t>
      </w:r>
      <w:r w:rsidR="00060BF8">
        <w:rPr>
          <w:rFonts w:ascii="Times New Roman" w:eastAsia="Calibri" w:hAnsi="Times New Roman" w:cs="Times New Roman"/>
          <w:sz w:val="24"/>
          <w:szCs w:val="24"/>
          <w:lang w:val="ro-RO"/>
        </w:rPr>
        <w:t>ț</w:t>
      </w:r>
      <w:r w:rsidRPr="005C2D13">
        <w:rPr>
          <w:rFonts w:ascii="Times New Roman" w:eastAsia="Calibri" w:hAnsi="Times New Roman" w:cs="Times New Roman"/>
          <w:sz w:val="24"/>
          <w:szCs w:val="24"/>
          <w:lang w:val="ro-RO"/>
        </w:rPr>
        <w:t xml:space="preserve">e </w:t>
      </w:r>
      <w:r>
        <w:rPr>
          <w:rFonts w:ascii="Times New Roman" w:eastAsia="Calibri" w:hAnsi="Times New Roman" w:cs="Times New Roman"/>
          <w:sz w:val="24"/>
          <w:szCs w:val="24"/>
          <w:lang w:val="ro-RO"/>
        </w:rPr>
        <w:t xml:space="preserve">care depășesc nivelul de pregătire din școală sau din INM și, în același timp, </w:t>
      </w:r>
      <w:r w:rsidRPr="005C2D13">
        <w:rPr>
          <w:rFonts w:ascii="Times New Roman" w:eastAsia="Calibri" w:hAnsi="Times New Roman" w:cs="Times New Roman"/>
          <w:sz w:val="24"/>
          <w:szCs w:val="24"/>
          <w:lang w:val="ro-RO"/>
        </w:rPr>
        <w:t>pentru a răspunde tendințelor curente ale criminalit</w:t>
      </w:r>
      <w:r>
        <w:rPr>
          <w:rFonts w:ascii="Times New Roman" w:eastAsia="Calibri" w:hAnsi="Times New Roman" w:cs="Times New Roman"/>
          <w:sz w:val="24"/>
          <w:szCs w:val="24"/>
          <w:lang w:val="ro-RO"/>
        </w:rPr>
        <w:t xml:space="preserve">ății </w:t>
      </w:r>
      <w:r w:rsidR="00060BF8">
        <w:rPr>
          <w:rFonts w:ascii="Times New Roman" w:eastAsia="Calibri" w:hAnsi="Times New Roman" w:cs="Times New Roman"/>
          <w:sz w:val="24"/>
          <w:szCs w:val="24"/>
          <w:lang w:val="ro-RO"/>
        </w:rPr>
        <w:t>ș</w:t>
      </w:r>
      <w:r>
        <w:rPr>
          <w:rFonts w:ascii="Times New Roman" w:eastAsia="Calibri" w:hAnsi="Times New Roman" w:cs="Times New Roman"/>
          <w:sz w:val="24"/>
          <w:szCs w:val="24"/>
          <w:lang w:val="ro-RO"/>
        </w:rPr>
        <w:t xml:space="preserve">i modalităților complexe, de săvârșire a faptelor, </w:t>
      </w:r>
      <w:r w:rsidRPr="005C2D13">
        <w:rPr>
          <w:rFonts w:ascii="Times New Roman" w:eastAsia="Calibri" w:hAnsi="Times New Roman" w:cs="Times New Roman"/>
          <w:sz w:val="24"/>
          <w:szCs w:val="24"/>
          <w:lang w:val="ro-RO"/>
        </w:rPr>
        <w:t>complicate prin elemente de tehnologie</w:t>
      </w:r>
      <w:r>
        <w:rPr>
          <w:rFonts w:ascii="Times New Roman" w:eastAsia="Calibri" w:hAnsi="Times New Roman" w:cs="Times New Roman"/>
          <w:sz w:val="24"/>
          <w:szCs w:val="24"/>
          <w:lang w:val="ro-RO"/>
        </w:rPr>
        <w:t>.</w:t>
      </w:r>
      <w:r w:rsidRPr="005C2D13">
        <w:rPr>
          <w:rFonts w:ascii="Times New Roman" w:eastAsia="Calibri" w:hAnsi="Times New Roman" w:cs="Times New Roman"/>
          <w:sz w:val="24"/>
          <w:szCs w:val="24"/>
          <w:lang w:val="ro-RO"/>
        </w:rPr>
        <w:t xml:space="preserve"> Insuficient</w:t>
      </w:r>
      <w:r>
        <w:rPr>
          <w:rFonts w:ascii="Times New Roman" w:eastAsia="Calibri" w:hAnsi="Times New Roman" w:cs="Times New Roman"/>
          <w:sz w:val="24"/>
          <w:szCs w:val="24"/>
          <w:lang w:val="ro-RO"/>
        </w:rPr>
        <w:t xml:space="preserve">a asimilare, de pildă, de către procurorii </w:t>
      </w:r>
      <w:r w:rsidRPr="005C2D13">
        <w:rPr>
          <w:rFonts w:ascii="Times New Roman" w:eastAsia="Calibri" w:hAnsi="Times New Roman" w:cs="Times New Roman"/>
          <w:sz w:val="24"/>
          <w:szCs w:val="24"/>
          <w:lang w:val="ro-RO"/>
        </w:rPr>
        <w:t>si polițiști</w:t>
      </w:r>
      <w:r>
        <w:rPr>
          <w:rFonts w:ascii="Times New Roman" w:eastAsia="Calibri" w:hAnsi="Times New Roman" w:cs="Times New Roman"/>
          <w:sz w:val="24"/>
          <w:szCs w:val="24"/>
          <w:lang w:val="ro-RO"/>
        </w:rPr>
        <w:t>i care se ocupă de investigarea infracțiunii de evaziune fiscală,</w:t>
      </w:r>
      <w:r w:rsidRPr="005C2D13">
        <w:rPr>
          <w:rFonts w:ascii="Times New Roman" w:eastAsia="Calibri" w:hAnsi="Times New Roman" w:cs="Times New Roman"/>
          <w:sz w:val="24"/>
          <w:szCs w:val="24"/>
          <w:lang w:val="ro-RO"/>
        </w:rPr>
        <w:t xml:space="preserve"> a cunoștințelor de specialitate </w:t>
      </w:r>
      <w:r w:rsidR="00060BF8">
        <w:rPr>
          <w:rFonts w:ascii="Times New Roman" w:eastAsia="Calibri" w:hAnsi="Times New Roman" w:cs="Times New Roman"/>
          <w:sz w:val="24"/>
          <w:szCs w:val="24"/>
          <w:lang w:val="ro-RO"/>
        </w:rPr>
        <w:t>ș</w:t>
      </w:r>
      <w:r w:rsidRPr="005C2D13">
        <w:rPr>
          <w:rFonts w:ascii="Times New Roman" w:eastAsia="Calibri" w:hAnsi="Times New Roman" w:cs="Times New Roman"/>
          <w:sz w:val="24"/>
          <w:szCs w:val="24"/>
          <w:lang w:val="ro-RO"/>
        </w:rPr>
        <w:t xml:space="preserve">i </w:t>
      </w:r>
      <w:r w:rsidR="00060BF8">
        <w:rPr>
          <w:rFonts w:ascii="Times New Roman" w:eastAsia="Calibri" w:hAnsi="Times New Roman" w:cs="Times New Roman"/>
          <w:sz w:val="24"/>
          <w:szCs w:val="24"/>
          <w:lang w:val="ro-RO"/>
        </w:rPr>
        <w:t xml:space="preserve">a </w:t>
      </w:r>
      <w:r w:rsidRPr="005C2D13">
        <w:rPr>
          <w:rFonts w:ascii="Times New Roman" w:eastAsia="Calibri" w:hAnsi="Times New Roman" w:cs="Times New Roman"/>
          <w:sz w:val="24"/>
          <w:szCs w:val="24"/>
          <w:lang w:val="ro-RO"/>
        </w:rPr>
        <w:t xml:space="preserve">metodelor de desfășurare a investigațiilor financiare paralele </w:t>
      </w:r>
      <w:r w:rsidR="00060BF8">
        <w:rPr>
          <w:rFonts w:ascii="Times New Roman" w:eastAsia="Calibri" w:hAnsi="Times New Roman" w:cs="Times New Roman"/>
          <w:sz w:val="24"/>
          <w:szCs w:val="24"/>
          <w:lang w:val="ro-RO"/>
        </w:rPr>
        <w:t>î</w:t>
      </w:r>
      <w:r w:rsidRPr="005C2D13">
        <w:rPr>
          <w:rFonts w:ascii="Times New Roman" w:eastAsia="Calibri" w:hAnsi="Times New Roman" w:cs="Times New Roman"/>
          <w:sz w:val="24"/>
          <w:szCs w:val="24"/>
          <w:lang w:val="ro-RO"/>
        </w:rPr>
        <w:t xml:space="preserve">n vedere urmăririi, identificării </w:t>
      </w:r>
      <w:r w:rsidR="00060BF8">
        <w:rPr>
          <w:rFonts w:ascii="Times New Roman" w:eastAsia="Calibri" w:hAnsi="Times New Roman" w:cs="Times New Roman"/>
          <w:sz w:val="24"/>
          <w:szCs w:val="24"/>
          <w:lang w:val="ro-RO"/>
        </w:rPr>
        <w:t>ș</w:t>
      </w:r>
      <w:r w:rsidRPr="005C2D13">
        <w:rPr>
          <w:rFonts w:ascii="Times New Roman" w:eastAsia="Calibri" w:hAnsi="Times New Roman" w:cs="Times New Roman"/>
          <w:sz w:val="24"/>
          <w:szCs w:val="24"/>
          <w:lang w:val="ro-RO"/>
        </w:rPr>
        <w:t>i sechestrării produsului infracțiunii</w:t>
      </w:r>
      <w:r>
        <w:rPr>
          <w:rFonts w:ascii="Times New Roman" w:eastAsia="Calibri" w:hAnsi="Times New Roman" w:cs="Times New Roman"/>
          <w:sz w:val="24"/>
          <w:szCs w:val="24"/>
          <w:lang w:val="ro-RO"/>
        </w:rPr>
        <w:t>, are ca principal efect nerecuperarea produsului infracțional prin confiscare</w:t>
      </w:r>
      <w:r w:rsidRPr="005C2D13">
        <w:rPr>
          <w:rFonts w:ascii="Times New Roman" w:eastAsia="Calibri" w:hAnsi="Times New Roman" w:cs="Times New Roman"/>
          <w:sz w:val="24"/>
          <w:szCs w:val="24"/>
          <w:lang w:val="ro-RO"/>
        </w:rPr>
        <w:t xml:space="preserve">. </w:t>
      </w:r>
    </w:p>
    <w:p w:rsidR="005C2D13" w:rsidRDefault="005C2D13" w:rsidP="005C2D13">
      <w:pPr>
        <w:spacing w:after="0" w:line="360" w:lineRule="auto"/>
        <w:ind w:firstLine="720"/>
        <w:jc w:val="both"/>
        <w:rPr>
          <w:rFonts w:ascii="Times New Roman" w:eastAsia="Calibri" w:hAnsi="Times New Roman" w:cs="Times New Roman"/>
          <w:sz w:val="24"/>
          <w:szCs w:val="24"/>
          <w:lang w:val="ro-RO"/>
        </w:rPr>
      </w:pPr>
      <w:r w:rsidRPr="00D739A9">
        <w:rPr>
          <w:rFonts w:ascii="Times New Roman" w:eastAsia="Calibri" w:hAnsi="Times New Roman" w:cs="Times New Roman"/>
          <w:b/>
          <w:sz w:val="24"/>
          <w:szCs w:val="24"/>
          <w:lang w:val="ro-RO"/>
        </w:rPr>
        <w:t xml:space="preserve">Insuficienta abordare a chestiunilor aferente confiscării extinse </w:t>
      </w:r>
      <w:r w:rsidR="00060BF8" w:rsidRPr="00D739A9">
        <w:rPr>
          <w:rFonts w:ascii="Times New Roman" w:eastAsia="Calibri" w:hAnsi="Times New Roman" w:cs="Times New Roman"/>
          <w:b/>
          <w:sz w:val="24"/>
          <w:szCs w:val="24"/>
          <w:lang w:val="ro-RO"/>
        </w:rPr>
        <w:t>ș</w:t>
      </w:r>
      <w:r w:rsidRPr="00D739A9">
        <w:rPr>
          <w:rFonts w:ascii="Times New Roman" w:eastAsia="Calibri" w:hAnsi="Times New Roman" w:cs="Times New Roman"/>
          <w:b/>
          <w:sz w:val="24"/>
          <w:szCs w:val="24"/>
          <w:lang w:val="ro-RO"/>
        </w:rPr>
        <w:t xml:space="preserve">i a investigațiilor cu privire la spălarea banilor </w:t>
      </w:r>
      <w:r w:rsidR="00060BF8" w:rsidRPr="00D739A9">
        <w:rPr>
          <w:rFonts w:ascii="Times New Roman" w:eastAsia="Calibri" w:hAnsi="Times New Roman" w:cs="Times New Roman"/>
          <w:b/>
          <w:sz w:val="24"/>
          <w:szCs w:val="24"/>
          <w:lang w:val="ro-RO"/>
        </w:rPr>
        <w:t>î</w:t>
      </w:r>
      <w:r w:rsidRPr="00D739A9">
        <w:rPr>
          <w:rFonts w:ascii="Times New Roman" w:eastAsia="Calibri" w:hAnsi="Times New Roman" w:cs="Times New Roman"/>
          <w:b/>
          <w:sz w:val="24"/>
          <w:szCs w:val="24"/>
          <w:lang w:val="ro-RO"/>
        </w:rPr>
        <w:t>n dosarele instrumentate</w:t>
      </w:r>
      <w:r w:rsidR="00060BF8" w:rsidRPr="00D739A9">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trebuie considerate deficiențe majore de sistem.</w:t>
      </w:r>
    </w:p>
    <w:p w:rsidR="00BB1DAE" w:rsidRPr="00BB1DAE" w:rsidRDefault="005C2D13" w:rsidP="00BB1DAE">
      <w:pPr>
        <w:spacing w:after="0" w:line="36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9.</w:t>
      </w:r>
      <w:r w:rsidR="00BB1DAE" w:rsidRPr="00BB1DAE">
        <w:t xml:space="preserve"> </w:t>
      </w:r>
      <w:r w:rsidR="00BB1DAE">
        <w:rPr>
          <w:rFonts w:ascii="Times New Roman" w:eastAsia="Calibri" w:hAnsi="Times New Roman" w:cs="Times New Roman"/>
          <w:sz w:val="24"/>
          <w:szCs w:val="24"/>
          <w:lang w:val="ro-RO"/>
        </w:rPr>
        <w:t xml:space="preserve">În legătură cu protecția insuficientă a imaginii procurorilor sau a Ministerului public pe care îl compun, realitatea </w:t>
      </w:r>
      <w:r w:rsidR="00060BF8">
        <w:rPr>
          <w:rFonts w:ascii="Times New Roman" w:eastAsia="Calibri" w:hAnsi="Times New Roman" w:cs="Times New Roman"/>
          <w:sz w:val="24"/>
          <w:szCs w:val="24"/>
          <w:lang w:val="ro-RO"/>
        </w:rPr>
        <w:t>î</w:t>
      </w:r>
      <w:r w:rsidR="00BB1DAE">
        <w:rPr>
          <w:rFonts w:ascii="Times New Roman" w:eastAsia="Calibri" w:hAnsi="Times New Roman" w:cs="Times New Roman"/>
          <w:sz w:val="24"/>
          <w:szCs w:val="24"/>
          <w:lang w:val="ro-RO"/>
        </w:rPr>
        <w:t>n care trăim cu toții astăzi est</w:t>
      </w:r>
      <w:r w:rsidR="00060BF8">
        <w:rPr>
          <w:rFonts w:ascii="Times New Roman" w:eastAsia="Calibri" w:hAnsi="Times New Roman" w:cs="Times New Roman"/>
          <w:sz w:val="24"/>
          <w:szCs w:val="24"/>
          <w:lang w:val="ro-RO"/>
        </w:rPr>
        <w:t>e</w:t>
      </w:r>
      <w:r w:rsidR="00BB1DAE">
        <w:rPr>
          <w:rFonts w:ascii="Times New Roman" w:eastAsia="Calibri" w:hAnsi="Times New Roman" w:cs="Times New Roman"/>
          <w:sz w:val="24"/>
          <w:szCs w:val="24"/>
          <w:lang w:val="ro-RO"/>
        </w:rPr>
        <w:t xml:space="preserve"> inundată</w:t>
      </w:r>
      <w:r w:rsidR="00BB1DAE" w:rsidRPr="00BB1DAE">
        <w:rPr>
          <w:rFonts w:ascii="Times New Roman" w:eastAsia="Calibri" w:hAnsi="Times New Roman" w:cs="Times New Roman"/>
          <w:sz w:val="24"/>
          <w:szCs w:val="24"/>
          <w:lang w:val="ro-RO"/>
        </w:rPr>
        <w:t xml:space="preserve"> de exemple, astfe</w:t>
      </w:r>
      <w:r w:rsidR="00BB1DAE">
        <w:rPr>
          <w:rFonts w:ascii="Times New Roman" w:eastAsia="Calibri" w:hAnsi="Times New Roman" w:cs="Times New Roman"/>
          <w:sz w:val="24"/>
          <w:szCs w:val="24"/>
          <w:lang w:val="ro-RO"/>
        </w:rPr>
        <w:t>l încât dezvoltarea subiectului pare</w:t>
      </w:r>
      <w:r w:rsidR="00BB1DAE" w:rsidRPr="00BB1DAE">
        <w:rPr>
          <w:rFonts w:ascii="Times New Roman" w:eastAsia="Calibri" w:hAnsi="Times New Roman" w:cs="Times New Roman"/>
          <w:sz w:val="24"/>
          <w:szCs w:val="24"/>
          <w:lang w:val="ro-RO"/>
        </w:rPr>
        <w:t xml:space="preserve"> de prisos. Trebuie însă menționat c</w:t>
      </w:r>
      <w:r w:rsidR="00060BF8">
        <w:rPr>
          <w:rFonts w:ascii="Times New Roman" w:eastAsia="Calibri" w:hAnsi="Times New Roman" w:cs="Times New Roman"/>
          <w:sz w:val="24"/>
          <w:szCs w:val="24"/>
          <w:lang w:val="ro-RO"/>
        </w:rPr>
        <w:t>ă</w:t>
      </w:r>
      <w:r w:rsidR="00BB1DAE" w:rsidRPr="00BB1DAE">
        <w:rPr>
          <w:rFonts w:ascii="Times New Roman" w:eastAsia="Calibri" w:hAnsi="Times New Roman" w:cs="Times New Roman"/>
          <w:sz w:val="24"/>
          <w:szCs w:val="24"/>
          <w:lang w:val="ro-RO"/>
        </w:rPr>
        <w:t xml:space="preserve"> fe</w:t>
      </w:r>
      <w:r w:rsidR="00BB1DAE">
        <w:rPr>
          <w:rFonts w:ascii="Times New Roman" w:eastAsia="Calibri" w:hAnsi="Times New Roman" w:cs="Times New Roman"/>
          <w:sz w:val="24"/>
          <w:szCs w:val="24"/>
          <w:lang w:val="ro-RO"/>
        </w:rPr>
        <w:t>nomenul este puternic resimțit</w:t>
      </w:r>
      <w:r w:rsidR="00BB1DAE" w:rsidRPr="00BB1DAE">
        <w:rPr>
          <w:rFonts w:ascii="Times New Roman" w:eastAsia="Calibri" w:hAnsi="Times New Roman" w:cs="Times New Roman"/>
          <w:sz w:val="24"/>
          <w:szCs w:val="24"/>
          <w:lang w:val="ro-RO"/>
        </w:rPr>
        <w:t xml:space="preserve"> in corpul </w:t>
      </w:r>
      <w:r w:rsidR="00BB1DAE">
        <w:rPr>
          <w:rFonts w:ascii="Times New Roman" w:eastAsia="Calibri" w:hAnsi="Times New Roman" w:cs="Times New Roman"/>
          <w:sz w:val="24"/>
          <w:szCs w:val="24"/>
          <w:lang w:val="ro-RO"/>
        </w:rPr>
        <w:t>magistraților procurori</w:t>
      </w:r>
      <w:r w:rsidR="00BB1DAE" w:rsidRPr="00BB1DAE">
        <w:rPr>
          <w:rFonts w:ascii="Times New Roman" w:eastAsia="Calibri" w:hAnsi="Times New Roman" w:cs="Times New Roman"/>
          <w:sz w:val="24"/>
          <w:szCs w:val="24"/>
          <w:lang w:val="ro-RO"/>
        </w:rPr>
        <w:t xml:space="preserve"> ca factor crescând de presiune</w:t>
      </w:r>
      <w:r w:rsidR="00BB1DAE">
        <w:rPr>
          <w:rFonts w:ascii="Times New Roman" w:eastAsia="Calibri" w:hAnsi="Times New Roman" w:cs="Times New Roman"/>
          <w:sz w:val="24"/>
          <w:szCs w:val="24"/>
          <w:lang w:val="ro-RO"/>
        </w:rPr>
        <w:t>,</w:t>
      </w:r>
      <w:r w:rsidR="00BB1DAE" w:rsidRPr="00BB1DAE">
        <w:rPr>
          <w:rFonts w:ascii="Times New Roman" w:eastAsia="Calibri" w:hAnsi="Times New Roman" w:cs="Times New Roman"/>
          <w:sz w:val="24"/>
          <w:szCs w:val="24"/>
          <w:lang w:val="ro-RO"/>
        </w:rPr>
        <w:t xml:space="preserve"> ceea ce se traduce în</w:t>
      </w:r>
      <w:r w:rsidR="00BB1DAE">
        <w:rPr>
          <w:rFonts w:ascii="Times New Roman" w:eastAsia="Calibri" w:hAnsi="Times New Roman" w:cs="Times New Roman"/>
          <w:sz w:val="24"/>
          <w:szCs w:val="24"/>
          <w:lang w:val="ro-RO"/>
        </w:rPr>
        <w:t>tr-o potențial</w:t>
      </w:r>
      <w:r w:rsidR="00060BF8">
        <w:rPr>
          <w:rFonts w:ascii="Times New Roman" w:eastAsia="Calibri" w:hAnsi="Times New Roman" w:cs="Times New Roman"/>
          <w:sz w:val="24"/>
          <w:szCs w:val="24"/>
          <w:lang w:val="ro-RO"/>
        </w:rPr>
        <w:t>ă</w:t>
      </w:r>
      <w:r w:rsidR="00BB1DAE">
        <w:rPr>
          <w:rFonts w:ascii="Times New Roman" w:eastAsia="Calibri" w:hAnsi="Times New Roman" w:cs="Times New Roman"/>
          <w:sz w:val="24"/>
          <w:szCs w:val="24"/>
          <w:lang w:val="ro-RO"/>
        </w:rPr>
        <w:t xml:space="preserve"> vulnerabilitate</w:t>
      </w:r>
      <w:r w:rsidR="00BB1DAE" w:rsidRPr="00BB1DAE">
        <w:rPr>
          <w:rFonts w:ascii="Times New Roman" w:eastAsia="Calibri" w:hAnsi="Times New Roman" w:cs="Times New Roman"/>
          <w:sz w:val="24"/>
          <w:szCs w:val="24"/>
          <w:lang w:val="ro-RO"/>
        </w:rPr>
        <w:t xml:space="preserve">, </w:t>
      </w:r>
      <w:r w:rsidR="00060BF8">
        <w:rPr>
          <w:rFonts w:ascii="Times New Roman" w:eastAsia="Calibri" w:hAnsi="Times New Roman" w:cs="Times New Roman"/>
          <w:sz w:val="24"/>
          <w:szCs w:val="24"/>
          <w:lang w:val="ro-RO"/>
        </w:rPr>
        <w:t>î</w:t>
      </w:r>
      <w:r w:rsidR="00BB1DAE" w:rsidRPr="00BB1DAE">
        <w:rPr>
          <w:rFonts w:ascii="Times New Roman" w:eastAsia="Calibri" w:hAnsi="Times New Roman" w:cs="Times New Roman"/>
          <w:sz w:val="24"/>
          <w:szCs w:val="24"/>
          <w:lang w:val="ro-RO"/>
        </w:rPr>
        <w:t>n absen</w:t>
      </w:r>
      <w:r w:rsidR="00060BF8">
        <w:rPr>
          <w:rFonts w:ascii="Times New Roman" w:eastAsia="Calibri" w:hAnsi="Times New Roman" w:cs="Times New Roman"/>
          <w:sz w:val="24"/>
          <w:szCs w:val="24"/>
          <w:lang w:val="ro-RO"/>
        </w:rPr>
        <w:t>ț</w:t>
      </w:r>
      <w:r w:rsidR="00BB1DAE" w:rsidRPr="00BB1DAE">
        <w:rPr>
          <w:rFonts w:ascii="Times New Roman" w:eastAsia="Calibri" w:hAnsi="Times New Roman" w:cs="Times New Roman"/>
          <w:sz w:val="24"/>
          <w:szCs w:val="24"/>
          <w:lang w:val="ro-RO"/>
        </w:rPr>
        <w:t xml:space="preserve">a protecției adecvate a statutului magistratului. Acțiunea CSM este </w:t>
      </w:r>
      <w:r w:rsidR="00BB1DAE" w:rsidRPr="00BB1DAE">
        <w:rPr>
          <w:rFonts w:ascii="Times New Roman" w:eastAsia="Calibri" w:hAnsi="Times New Roman" w:cs="Times New Roman"/>
          <w:sz w:val="24"/>
          <w:szCs w:val="24"/>
          <w:lang w:val="ro-RO"/>
        </w:rPr>
        <w:lastRenderedPageBreak/>
        <w:t>considerata ca insuficient</w:t>
      </w:r>
      <w:r w:rsidR="00060BF8">
        <w:rPr>
          <w:rFonts w:ascii="Times New Roman" w:eastAsia="Calibri" w:hAnsi="Times New Roman" w:cs="Times New Roman"/>
          <w:sz w:val="24"/>
          <w:szCs w:val="24"/>
          <w:lang w:val="ro-RO"/>
        </w:rPr>
        <w:t>ă</w:t>
      </w:r>
      <w:r w:rsidR="00BB1DAE" w:rsidRPr="00BB1DAE">
        <w:rPr>
          <w:rFonts w:ascii="Times New Roman" w:eastAsia="Calibri" w:hAnsi="Times New Roman" w:cs="Times New Roman"/>
          <w:sz w:val="24"/>
          <w:szCs w:val="24"/>
          <w:lang w:val="ro-RO"/>
        </w:rPr>
        <w:t>.</w:t>
      </w:r>
      <w:r w:rsidR="00BB1DAE" w:rsidRPr="00BB1DAE">
        <w:t xml:space="preserve"> </w:t>
      </w:r>
      <w:r w:rsidR="00BB1DAE" w:rsidRPr="00BB1DAE">
        <w:rPr>
          <w:rFonts w:ascii="Times New Roman" w:eastAsia="Calibri" w:hAnsi="Times New Roman" w:cs="Times New Roman"/>
          <w:sz w:val="24"/>
          <w:szCs w:val="24"/>
          <w:lang w:val="ro-RO"/>
        </w:rPr>
        <w:t xml:space="preserve">Cu privire la situația actuală a sistemului judiciar din România și, în special cu privire la acele aspecte care au făcut obiectul discuțiilor publice, </w:t>
      </w:r>
      <w:r w:rsidR="00BB1DAE">
        <w:rPr>
          <w:rFonts w:ascii="Times New Roman" w:eastAsia="Calibri" w:hAnsi="Times New Roman" w:cs="Times New Roman"/>
          <w:sz w:val="24"/>
          <w:szCs w:val="24"/>
          <w:lang w:val="ro-RO"/>
        </w:rPr>
        <w:t xml:space="preserve">trebuie precizat </w:t>
      </w:r>
      <w:r w:rsidR="00BB1DAE" w:rsidRPr="00BB1DAE">
        <w:rPr>
          <w:rFonts w:ascii="Times New Roman" w:eastAsia="Calibri" w:hAnsi="Times New Roman" w:cs="Times New Roman"/>
          <w:sz w:val="24"/>
          <w:szCs w:val="24"/>
          <w:lang w:val="ro-RO"/>
        </w:rPr>
        <w:t xml:space="preserve">faptul că orice comportament al unui magistrat, de natură a atrage răspunderea penală ori disciplinară a acestuia, trebuie sancționat în mod exemplar, în cel mai scurt timp posibil. Ceea ce, însă, nu trebuie să se întâmple este generalizarea criticii la o parte sau la întregul sistem judiciar. Atacurile aduse Ministerului Public </w:t>
      </w:r>
      <w:r w:rsidR="00BB1DAE" w:rsidRPr="00060BF8">
        <w:rPr>
          <w:rFonts w:ascii="Times New Roman" w:eastAsia="Calibri" w:hAnsi="Times New Roman" w:cs="Times New Roman"/>
          <w:i/>
          <w:sz w:val="24"/>
          <w:szCs w:val="24"/>
          <w:lang w:val="ro-RO"/>
        </w:rPr>
        <w:t>in corpore</w:t>
      </w:r>
      <w:r w:rsidR="00BB1DAE" w:rsidRPr="00BB1DAE">
        <w:rPr>
          <w:rFonts w:ascii="Times New Roman" w:eastAsia="Calibri" w:hAnsi="Times New Roman" w:cs="Times New Roman"/>
          <w:sz w:val="24"/>
          <w:szCs w:val="24"/>
          <w:lang w:val="ro-RO"/>
        </w:rPr>
        <w:t xml:space="preserve"> sau unor direcții ori secții ale acestuia în general nu fac decât să șubrezească sistemul judiciar în ansamblul său și, astfel, să vulnerabilizeze statul român. La fel ca în orice alt domeniu, erorile și comportamentele deviante trebuie abordate și remediate ori eliminate punctual.</w:t>
      </w:r>
    </w:p>
    <w:p w:rsidR="004D29D5" w:rsidRDefault="00BB1DAE" w:rsidP="004C5865">
      <w:pPr>
        <w:spacing w:after="0" w:line="360" w:lineRule="auto"/>
        <w:ind w:firstLine="720"/>
        <w:jc w:val="both"/>
        <w:rPr>
          <w:rFonts w:ascii="Times New Roman" w:eastAsia="Calibri" w:hAnsi="Times New Roman" w:cs="Times New Roman"/>
          <w:sz w:val="24"/>
          <w:szCs w:val="24"/>
          <w:lang w:val="ro-RO"/>
        </w:rPr>
      </w:pPr>
      <w:r w:rsidRPr="00BB1DAE">
        <w:rPr>
          <w:rFonts w:ascii="Times New Roman" w:eastAsia="Calibri" w:hAnsi="Times New Roman" w:cs="Times New Roman"/>
          <w:sz w:val="24"/>
          <w:szCs w:val="24"/>
          <w:lang w:val="ro-RO"/>
        </w:rPr>
        <w:t>Pe de alta parte</w:t>
      </w:r>
      <w:r w:rsidR="00060BF8">
        <w:rPr>
          <w:rFonts w:ascii="Times New Roman" w:eastAsia="Calibri" w:hAnsi="Times New Roman" w:cs="Times New Roman"/>
          <w:sz w:val="24"/>
          <w:szCs w:val="24"/>
          <w:lang w:val="ro-RO"/>
        </w:rPr>
        <w:t>,</w:t>
      </w:r>
      <w:r w:rsidRPr="00BB1DAE">
        <w:rPr>
          <w:rFonts w:ascii="Times New Roman" w:eastAsia="Calibri" w:hAnsi="Times New Roman" w:cs="Times New Roman"/>
          <w:sz w:val="24"/>
          <w:szCs w:val="24"/>
          <w:lang w:val="ro-RO"/>
        </w:rPr>
        <w:t xml:space="preserve"> reac</w:t>
      </w:r>
      <w:r w:rsidR="00060BF8">
        <w:rPr>
          <w:rFonts w:ascii="Times New Roman" w:eastAsia="Calibri" w:hAnsi="Times New Roman" w:cs="Times New Roman"/>
          <w:sz w:val="24"/>
          <w:szCs w:val="24"/>
          <w:lang w:val="ro-RO"/>
        </w:rPr>
        <w:t>ți</w:t>
      </w:r>
      <w:r w:rsidRPr="00BB1DAE">
        <w:rPr>
          <w:rFonts w:ascii="Times New Roman" w:eastAsia="Calibri" w:hAnsi="Times New Roman" w:cs="Times New Roman"/>
          <w:sz w:val="24"/>
          <w:szCs w:val="24"/>
          <w:lang w:val="ro-RO"/>
        </w:rPr>
        <w:t xml:space="preserve">a </w:t>
      </w:r>
      <w:r w:rsidR="00060BF8">
        <w:rPr>
          <w:rFonts w:ascii="Times New Roman" w:eastAsia="Calibri" w:hAnsi="Times New Roman" w:cs="Times New Roman"/>
          <w:sz w:val="24"/>
          <w:szCs w:val="24"/>
          <w:lang w:val="ro-RO"/>
        </w:rPr>
        <w:t>î</w:t>
      </w:r>
      <w:r w:rsidRPr="00BB1DAE">
        <w:rPr>
          <w:rFonts w:ascii="Times New Roman" w:eastAsia="Calibri" w:hAnsi="Times New Roman" w:cs="Times New Roman"/>
          <w:sz w:val="24"/>
          <w:szCs w:val="24"/>
          <w:lang w:val="ro-RO"/>
        </w:rPr>
        <w:t>nt</w:t>
      </w:r>
      <w:r w:rsidR="00060BF8">
        <w:rPr>
          <w:rFonts w:ascii="Times New Roman" w:eastAsia="Calibri" w:hAnsi="Times New Roman" w:cs="Times New Roman"/>
          <w:sz w:val="24"/>
          <w:szCs w:val="24"/>
          <w:lang w:val="ro-RO"/>
        </w:rPr>
        <w:t>â</w:t>
      </w:r>
      <w:r w:rsidRPr="00BB1DAE">
        <w:rPr>
          <w:rFonts w:ascii="Times New Roman" w:eastAsia="Calibri" w:hAnsi="Times New Roman" w:cs="Times New Roman"/>
          <w:sz w:val="24"/>
          <w:szCs w:val="24"/>
          <w:lang w:val="ro-RO"/>
        </w:rPr>
        <w:t>rziat</w:t>
      </w:r>
      <w:r w:rsidR="00060BF8">
        <w:rPr>
          <w:rFonts w:ascii="Times New Roman" w:eastAsia="Calibri" w:hAnsi="Times New Roman" w:cs="Times New Roman"/>
          <w:sz w:val="24"/>
          <w:szCs w:val="24"/>
          <w:lang w:val="ro-RO"/>
        </w:rPr>
        <w:t>ă</w:t>
      </w:r>
      <w:r w:rsidRPr="00BB1DAE">
        <w:rPr>
          <w:rFonts w:ascii="Times New Roman" w:eastAsia="Calibri" w:hAnsi="Times New Roman" w:cs="Times New Roman"/>
          <w:sz w:val="24"/>
          <w:szCs w:val="24"/>
          <w:lang w:val="ro-RO"/>
        </w:rPr>
        <w:t xml:space="preserve"> a factorilor de conducere ai Ministerului Public fa</w:t>
      </w:r>
      <w:r w:rsidR="00060BF8">
        <w:rPr>
          <w:rFonts w:ascii="Times New Roman" w:eastAsia="Calibri" w:hAnsi="Times New Roman" w:cs="Times New Roman"/>
          <w:sz w:val="24"/>
          <w:szCs w:val="24"/>
          <w:lang w:val="ro-RO"/>
        </w:rPr>
        <w:t>ță</w:t>
      </w:r>
      <w:r w:rsidRPr="00BB1DAE">
        <w:rPr>
          <w:rFonts w:ascii="Times New Roman" w:eastAsia="Calibri" w:hAnsi="Times New Roman" w:cs="Times New Roman"/>
          <w:sz w:val="24"/>
          <w:szCs w:val="24"/>
          <w:lang w:val="ro-RO"/>
        </w:rPr>
        <w:t xml:space="preserve"> de </w:t>
      </w:r>
      <w:r>
        <w:rPr>
          <w:rFonts w:ascii="Times New Roman" w:eastAsia="Calibri" w:hAnsi="Times New Roman" w:cs="Times New Roman"/>
          <w:sz w:val="24"/>
          <w:szCs w:val="24"/>
          <w:lang w:val="ro-RO"/>
        </w:rPr>
        <w:t>derapajele de sistem</w:t>
      </w:r>
      <w:r w:rsidRPr="00BB1DAE">
        <w:rPr>
          <w:rFonts w:ascii="Times New Roman" w:eastAsia="Calibri" w:hAnsi="Times New Roman" w:cs="Times New Roman"/>
          <w:sz w:val="24"/>
          <w:szCs w:val="24"/>
          <w:lang w:val="ro-RO"/>
        </w:rPr>
        <w:t xml:space="preserve"> a vulnerabilizat </w:t>
      </w:r>
      <w:r w:rsidRPr="00BB1DAE">
        <w:rPr>
          <w:rFonts w:ascii="Times New Roman" w:eastAsia="Calibri" w:hAnsi="Times New Roman" w:cs="Times New Roman"/>
          <w:i/>
          <w:sz w:val="24"/>
          <w:szCs w:val="24"/>
          <w:lang w:val="ro-RO"/>
        </w:rPr>
        <w:t>in corpore</w:t>
      </w:r>
      <w:r w:rsidRPr="00BB1DAE">
        <w:rPr>
          <w:rFonts w:ascii="Times New Roman" w:eastAsia="Calibri" w:hAnsi="Times New Roman" w:cs="Times New Roman"/>
          <w:sz w:val="24"/>
          <w:szCs w:val="24"/>
          <w:lang w:val="ro-RO"/>
        </w:rPr>
        <w:t xml:space="preserve"> imaginea public</w:t>
      </w:r>
      <w:r w:rsidR="00060BF8">
        <w:rPr>
          <w:rFonts w:ascii="Times New Roman" w:eastAsia="Calibri" w:hAnsi="Times New Roman" w:cs="Times New Roman"/>
          <w:sz w:val="24"/>
          <w:szCs w:val="24"/>
          <w:lang w:val="ro-RO"/>
        </w:rPr>
        <w:t>ă</w:t>
      </w:r>
      <w:r w:rsidRPr="00BB1DAE">
        <w:rPr>
          <w:rFonts w:ascii="Times New Roman" w:eastAsia="Calibri" w:hAnsi="Times New Roman" w:cs="Times New Roman"/>
          <w:sz w:val="24"/>
          <w:szCs w:val="24"/>
          <w:lang w:val="ro-RO"/>
        </w:rPr>
        <w:t xml:space="preserve"> a procurorilor.</w:t>
      </w:r>
    </w:p>
    <w:p w:rsidR="00060BF8" w:rsidRDefault="004C5865" w:rsidP="004C5865">
      <w:pPr>
        <w:spacing w:after="0" w:line="360" w:lineRule="auto"/>
        <w:ind w:firstLine="720"/>
        <w:jc w:val="both"/>
        <w:rPr>
          <w:rFonts w:ascii="Times New Roman" w:eastAsia="Calibri" w:hAnsi="Times New Roman" w:cs="Times New Roman"/>
          <w:sz w:val="24"/>
          <w:szCs w:val="24"/>
          <w:lang w:val="ro-RO"/>
        </w:rPr>
      </w:pPr>
      <w:r w:rsidRPr="004C5865">
        <w:rPr>
          <w:rFonts w:ascii="Times New Roman" w:eastAsia="Calibri" w:hAnsi="Times New Roman" w:cs="Times New Roman"/>
          <w:sz w:val="24"/>
          <w:szCs w:val="24"/>
          <w:lang w:val="ro-RO"/>
        </w:rPr>
        <w:t>10.</w:t>
      </w:r>
      <w:r>
        <w:rPr>
          <w:rFonts w:ascii="Times New Roman" w:eastAsia="Calibri" w:hAnsi="Times New Roman" w:cs="Times New Roman"/>
          <w:sz w:val="24"/>
          <w:szCs w:val="24"/>
          <w:lang w:val="ro-RO"/>
        </w:rPr>
        <w:t xml:space="preserve">  Deși cifrele, realitățile logistice și insuficiența resurselor umane dau majoritatea vulnerabilităților sistemului prezentate în prezentul proiect de management, câteva alte probleme trebuie relevate pentru a fi avute în vedere la analiza nevoilor și la crearea instrumentelor de lucru. </w:t>
      </w:r>
    </w:p>
    <w:p w:rsidR="004C5865" w:rsidRDefault="004C5865" w:rsidP="004C5865">
      <w:pPr>
        <w:spacing w:after="0" w:line="36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Astfel:</w:t>
      </w:r>
    </w:p>
    <w:p w:rsidR="000B51D9" w:rsidRDefault="004C5865" w:rsidP="004C5865">
      <w:pPr>
        <w:spacing w:after="0" w:line="36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 </w:t>
      </w:r>
      <w:r w:rsidRPr="004C5865">
        <w:rPr>
          <w:rFonts w:ascii="Times New Roman" w:eastAsia="Calibri" w:hAnsi="Times New Roman" w:cs="Times New Roman"/>
          <w:sz w:val="24"/>
          <w:szCs w:val="24"/>
          <w:lang w:val="ro-RO"/>
        </w:rPr>
        <w:t xml:space="preserve">Stocul de dosare de soluționat </w:t>
      </w:r>
      <w:r w:rsidR="00060BF8">
        <w:rPr>
          <w:rFonts w:ascii="Times New Roman" w:eastAsia="Calibri" w:hAnsi="Times New Roman" w:cs="Times New Roman"/>
          <w:sz w:val="24"/>
          <w:szCs w:val="24"/>
          <w:lang w:val="ro-RO"/>
        </w:rPr>
        <w:t>și</w:t>
      </w:r>
      <w:r w:rsidRPr="004C5865">
        <w:rPr>
          <w:rFonts w:ascii="Times New Roman" w:eastAsia="Calibri" w:hAnsi="Times New Roman" w:cs="Times New Roman"/>
          <w:sz w:val="24"/>
          <w:szCs w:val="24"/>
          <w:lang w:val="ro-RO"/>
        </w:rPr>
        <w:t xml:space="preserve"> încărcătura pe procuror, precum si dosarele aflate  </w:t>
      </w:r>
      <w:r w:rsidR="00060BF8">
        <w:rPr>
          <w:rFonts w:ascii="Times New Roman" w:eastAsia="Calibri" w:hAnsi="Times New Roman" w:cs="Times New Roman"/>
          <w:sz w:val="24"/>
          <w:szCs w:val="24"/>
          <w:lang w:val="ro-RO"/>
        </w:rPr>
        <w:t>î</w:t>
      </w:r>
      <w:r w:rsidRPr="004C5865">
        <w:rPr>
          <w:rFonts w:ascii="Times New Roman" w:eastAsia="Calibri" w:hAnsi="Times New Roman" w:cs="Times New Roman"/>
          <w:sz w:val="24"/>
          <w:szCs w:val="24"/>
          <w:lang w:val="ro-RO"/>
        </w:rPr>
        <w:t>n anchet</w:t>
      </w:r>
      <w:r w:rsidR="00060BF8">
        <w:rPr>
          <w:rFonts w:ascii="Times New Roman" w:eastAsia="Calibri" w:hAnsi="Times New Roman" w:cs="Times New Roman"/>
          <w:sz w:val="24"/>
          <w:szCs w:val="24"/>
          <w:lang w:val="ro-RO"/>
        </w:rPr>
        <w:t>ă</w:t>
      </w:r>
      <w:r w:rsidRPr="004C5865">
        <w:rPr>
          <w:rFonts w:ascii="Times New Roman" w:eastAsia="Calibri" w:hAnsi="Times New Roman" w:cs="Times New Roman"/>
          <w:sz w:val="24"/>
          <w:szCs w:val="24"/>
          <w:lang w:val="ro-RO"/>
        </w:rPr>
        <w:t xml:space="preserve"> de o perioada mai mare de un an creează condiții de soluționare </w:t>
      </w:r>
      <w:r>
        <w:rPr>
          <w:rFonts w:ascii="Times New Roman" w:eastAsia="Calibri" w:hAnsi="Times New Roman" w:cs="Times New Roman"/>
          <w:sz w:val="24"/>
          <w:szCs w:val="24"/>
          <w:lang w:val="ro-RO"/>
        </w:rPr>
        <w:t>improprii</w:t>
      </w:r>
      <w:r w:rsidR="00060BF8">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cu atât mai mult cu câ</w:t>
      </w:r>
      <w:r w:rsidRPr="004C5865">
        <w:rPr>
          <w:rFonts w:ascii="Times New Roman" w:eastAsia="Calibri" w:hAnsi="Times New Roman" w:cs="Times New Roman"/>
          <w:sz w:val="24"/>
          <w:szCs w:val="24"/>
          <w:lang w:val="ro-RO"/>
        </w:rPr>
        <w:t xml:space="preserve">t actele de control ale inspecției judiciare </w:t>
      </w:r>
      <w:r w:rsidR="000B51D9">
        <w:rPr>
          <w:rFonts w:ascii="Times New Roman" w:eastAsia="Calibri" w:hAnsi="Times New Roman" w:cs="Times New Roman"/>
          <w:sz w:val="24"/>
          <w:szCs w:val="24"/>
          <w:lang w:val="ro-RO"/>
        </w:rPr>
        <w:t>ș</w:t>
      </w:r>
      <w:r w:rsidRPr="004C5865">
        <w:rPr>
          <w:rFonts w:ascii="Times New Roman" w:eastAsia="Calibri" w:hAnsi="Times New Roman" w:cs="Times New Roman"/>
          <w:sz w:val="24"/>
          <w:szCs w:val="24"/>
          <w:lang w:val="ro-RO"/>
        </w:rPr>
        <w:t xml:space="preserve">i normele </w:t>
      </w:r>
      <w:r w:rsidR="000B51D9">
        <w:rPr>
          <w:rFonts w:ascii="Times New Roman" w:eastAsia="Calibri" w:hAnsi="Times New Roman" w:cs="Times New Roman"/>
          <w:sz w:val="24"/>
          <w:szCs w:val="24"/>
          <w:lang w:val="ro-RO"/>
        </w:rPr>
        <w:t>î</w:t>
      </w:r>
      <w:r w:rsidRPr="004C5865">
        <w:rPr>
          <w:rFonts w:ascii="Times New Roman" w:eastAsia="Calibri" w:hAnsi="Times New Roman" w:cs="Times New Roman"/>
          <w:sz w:val="24"/>
          <w:szCs w:val="24"/>
          <w:lang w:val="ro-RO"/>
        </w:rPr>
        <w:t xml:space="preserve">n baza cărora aceasta își desfășoară activitatea abordează </w:t>
      </w:r>
      <w:r>
        <w:rPr>
          <w:rFonts w:ascii="Times New Roman" w:eastAsia="Calibri" w:hAnsi="Times New Roman" w:cs="Times New Roman"/>
          <w:sz w:val="24"/>
          <w:szCs w:val="24"/>
          <w:lang w:val="ro-RO"/>
        </w:rPr>
        <w:t xml:space="preserve"> în special vechimea cauzelor, iar nu complexitatea lor. </w:t>
      </w:r>
    </w:p>
    <w:p w:rsidR="004C5865" w:rsidRPr="004C5865" w:rsidRDefault="00D739A9" w:rsidP="004C5865">
      <w:pPr>
        <w:spacing w:after="0" w:line="36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w:t>
      </w:r>
      <w:r w:rsidR="004C5865" w:rsidRPr="004C5865">
        <w:rPr>
          <w:rFonts w:ascii="Times New Roman" w:eastAsia="Calibri" w:hAnsi="Times New Roman" w:cs="Times New Roman"/>
          <w:sz w:val="24"/>
          <w:szCs w:val="24"/>
          <w:lang w:val="ro-RO"/>
        </w:rPr>
        <w:t>)</w:t>
      </w:r>
      <w:r w:rsidR="000B51D9">
        <w:rPr>
          <w:rFonts w:ascii="Times New Roman" w:eastAsia="Calibri" w:hAnsi="Times New Roman" w:cs="Times New Roman"/>
          <w:sz w:val="24"/>
          <w:szCs w:val="24"/>
          <w:lang w:val="ro-RO"/>
        </w:rPr>
        <w:t xml:space="preserve"> </w:t>
      </w:r>
      <w:r w:rsidR="004C5865" w:rsidRPr="004C5865">
        <w:rPr>
          <w:rFonts w:ascii="Times New Roman" w:eastAsia="Calibri" w:hAnsi="Times New Roman" w:cs="Times New Roman"/>
          <w:sz w:val="24"/>
          <w:szCs w:val="24"/>
          <w:lang w:val="ro-RO"/>
        </w:rPr>
        <w:t>Lipsa unor ghid</w:t>
      </w:r>
      <w:r w:rsidR="00E44EE9">
        <w:rPr>
          <w:rFonts w:ascii="Times New Roman" w:eastAsia="Calibri" w:hAnsi="Times New Roman" w:cs="Times New Roman"/>
          <w:sz w:val="24"/>
          <w:szCs w:val="24"/>
          <w:lang w:val="ro-RO"/>
        </w:rPr>
        <w:t>uri tactice sau</w:t>
      </w:r>
      <w:r w:rsidR="004C5865" w:rsidRPr="004C5865">
        <w:rPr>
          <w:rFonts w:ascii="Times New Roman" w:eastAsia="Calibri" w:hAnsi="Times New Roman" w:cs="Times New Roman"/>
          <w:sz w:val="24"/>
          <w:szCs w:val="24"/>
          <w:lang w:val="ro-RO"/>
        </w:rPr>
        <w:t xml:space="preserve"> metodologii adecvate de abordare a investigațiilor </w:t>
      </w:r>
      <w:r w:rsidR="000B51D9">
        <w:rPr>
          <w:rFonts w:ascii="Times New Roman" w:eastAsia="Calibri" w:hAnsi="Times New Roman" w:cs="Times New Roman"/>
          <w:sz w:val="24"/>
          <w:szCs w:val="24"/>
          <w:lang w:val="ro-RO"/>
        </w:rPr>
        <w:t>î</w:t>
      </w:r>
      <w:r w:rsidR="004C5865" w:rsidRPr="004C5865">
        <w:rPr>
          <w:rFonts w:ascii="Times New Roman" w:eastAsia="Calibri" w:hAnsi="Times New Roman" w:cs="Times New Roman"/>
          <w:sz w:val="24"/>
          <w:szCs w:val="24"/>
          <w:lang w:val="ro-RO"/>
        </w:rPr>
        <w:t>n cauzele de criminalitate economico-fina</w:t>
      </w:r>
      <w:r w:rsidR="000B51D9">
        <w:rPr>
          <w:rFonts w:ascii="Times New Roman" w:eastAsia="Calibri" w:hAnsi="Times New Roman" w:cs="Times New Roman"/>
          <w:sz w:val="24"/>
          <w:szCs w:val="24"/>
          <w:lang w:val="ro-RO"/>
        </w:rPr>
        <w:t>n</w:t>
      </w:r>
      <w:r w:rsidR="004C5865" w:rsidRPr="004C5865">
        <w:rPr>
          <w:rFonts w:ascii="Times New Roman" w:eastAsia="Calibri" w:hAnsi="Times New Roman" w:cs="Times New Roman"/>
          <w:sz w:val="24"/>
          <w:szCs w:val="24"/>
          <w:lang w:val="ro-RO"/>
        </w:rPr>
        <w:t>ciar</w:t>
      </w:r>
      <w:r w:rsidR="000B51D9">
        <w:rPr>
          <w:rFonts w:ascii="Times New Roman" w:eastAsia="Calibri" w:hAnsi="Times New Roman" w:cs="Times New Roman"/>
          <w:sz w:val="24"/>
          <w:szCs w:val="24"/>
          <w:lang w:val="ro-RO"/>
        </w:rPr>
        <w:t>ă</w:t>
      </w:r>
      <w:r w:rsidR="00E44EE9">
        <w:rPr>
          <w:rFonts w:ascii="Times New Roman" w:eastAsia="Calibri" w:hAnsi="Times New Roman" w:cs="Times New Roman"/>
          <w:sz w:val="24"/>
          <w:szCs w:val="24"/>
          <w:lang w:val="ro-RO"/>
        </w:rPr>
        <w:t>;</w:t>
      </w:r>
    </w:p>
    <w:p w:rsidR="004C5865" w:rsidRPr="004C5865" w:rsidRDefault="00D739A9" w:rsidP="004C5865">
      <w:pPr>
        <w:spacing w:after="0" w:line="36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w:t>
      </w:r>
      <w:r w:rsidR="004C5865" w:rsidRPr="004C5865">
        <w:rPr>
          <w:rFonts w:ascii="Times New Roman" w:eastAsia="Calibri" w:hAnsi="Times New Roman" w:cs="Times New Roman"/>
          <w:sz w:val="24"/>
          <w:szCs w:val="24"/>
          <w:lang w:val="ro-RO"/>
        </w:rPr>
        <w:t>)</w:t>
      </w:r>
      <w:r w:rsidR="000B51D9">
        <w:rPr>
          <w:rFonts w:ascii="Times New Roman" w:eastAsia="Calibri" w:hAnsi="Times New Roman" w:cs="Times New Roman"/>
          <w:sz w:val="24"/>
          <w:szCs w:val="24"/>
          <w:lang w:val="ro-RO"/>
        </w:rPr>
        <w:t xml:space="preserve"> </w:t>
      </w:r>
      <w:r w:rsidR="004C5865" w:rsidRPr="004C5865">
        <w:rPr>
          <w:rFonts w:ascii="Times New Roman" w:eastAsia="Calibri" w:hAnsi="Times New Roman" w:cs="Times New Roman"/>
          <w:sz w:val="24"/>
          <w:szCs w:val="24"/>
          <w:lang w:val="ro-RO"/>
        </w:rPr>
        <w:t>Gradul relativ redus de recuperare a produsului infrac</w:t>
      </w:r>
      <w:r w:rsidR="000B51D9">
        <w:rPr>
          <w:rFonts w:ascii="Times New Roman" w:eastAsia="Calibri" w:hAnsi="Times New Roman" w:cs="Times New Roman"/>
          <w:sz w:val="24"/>
          <w:szCs w:val="24"/>
          <w:lang w:val="ro-RO"/>
        </w:rPr>
        <w:t>ț</w:t>
      </w:r>
      <w:r w:rsidR="004C5865" w:rsidRPr="004C5865">
        <w:rPr>
          <w:rFonts w:ascii="Times New Roman" w:eastAsia="Calibri" w:hAnsi="Times New Roman" w:cs="Times New Roman"/>
          <w:sz w:val="24"/>
          <w:szCs w:val="24"/>
          <w:lang w:val="ro-RO"/>
        </w:rPr>
        <w:t xml:space="preserve">ional lasă beneficiile infracționale </w:t>
      </w:r>
      <w:r w:rsidR="000B51D9">
        <w:rPr>
          <w:rFonts w:ascii="Times New Roman" w:eastAsia="Calibri" w:hAnsi="Times New Roman" w:cs="Times New Roman"/>
          <w:sz w:val="24"/>
          <w:szCs w:val="24"/>
          <w:lang w:val="ro-RO"/>
        </w:rPr>
        <w:t>î</w:t>
      </w:r>
      <w:r w:rsidR="004C5865" w:rsidRPr="004C5865">
        <w:rPr>
          <w:rFonts w:ascii="Times New Roman" w:eastAsia="Calibri" w:hAnsi="Times New Roman" w:cs="Times New Roman"/>
          <w:sz w:val="24"/>
          <w:szCs w:val="24"/>
          <w:lang w:val="ro-RO"/>
        </w:rPr>
        <w:t>n continuare sub controlul grupărilor criminale</w:t>
      </w:r>
      <w:r w:rsidR="00E44EE9">
        <w:rPr>
          <w:rFonts w:ascii="Times New Roman" w:eastAsia="Calibri" w:hAnsi="Times New Roman" w:cs="Times New Roman"/>
          <w:sz w:val="24"/>
          <w:szCs w:val="24"/>
          <w:lang w:val="ro-RO"/>
        </w:rPr>
        <w:t>;</w:t>
      </w:r>
    </w:p>
    <w:p w:rsidR="004C5865" w:rsidRPr="004C5865" w:rsidRDefault="00D739A9" w:rsidP="004C5865">
      <w:pPr>
        <w:spacing w:after="0" w:line="36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w:t>
      </w:r>
      <w:r w:rsidR="004C5865" w:rsidRPr="004C5865">
        <w:rPr>
          <w:rFonts w:ascii="Times New Roman" w:eastAsia="Calibri" w:hAnsi="Times New Roman" w:cs="Times New Roman"/>
          <w:sz w:val="24"/>
          <w:szCs w:val="24"/>
          <w:lang w:val="ro-RO"/>
        </w:rPr>
        <w:t>)</w:t>
      </w:r>
      <w:r w:rsidR="000B51D9">
        <w:rPr>
          <w:rFonts w:ascii="Times New Roman" w:eastAsia="Calibri" w:hAnsi="Times New Roman" w:cs="Times New Roman"/>
          <w:sz w:val="24"/>
          <w:szCs w:val="24"/>
          <w:lang w:val="ro-RO"/>
        </w:rPr>
        <w:t xml:space="preserve"> </w:t>
      </w:r>
      <w:r w:rsidR="004C5865" w:rsidRPr="004C5865">
        <w:rPr>
          <w:rFonts w:ascii="Times New Roman" w:eastAsia="Calibri" w:hAnsi="Times New Roman" w:cs="Times New Roman"/>
          <w:sz w:val="24"/>
          <w:szCs w:val="24"/>
          <w:lang w:val="ro-RO"/>
        </w:rPr>
        <w:t xml:space="preserve">Din perspectiva unei eventuale cenzuri de către judecător a actelor de urmărire penală, inexistenţa unui sistem de informare care să permită stabilirea certă a situaţiilor în care cetăţeni români se află în stare de arest în afara ţării constituie o vulnerabilizare a urmăririi penale. Astfel, deşi legea permite trimiterea în judecată </w:t>
      </w:r>
      <w:r w:rsidR="004C5865" w:rsidRPr="000B51D9">
        <w:rPr>
          <w:rFonts w:ascii="Times New Roman" w:eastAsia="Calibri" w:hAnsi="Times New Roman" w:cs="Times New Roman"/>
          <w:i/>
          <w:sz w:val="24"/>
          <w:szCs w:val="24"/>
          <w:lang w:val="ro-RO"/>
        </w:rPr>
        <w:t>in absentia</w:t>
      </w:r>
      <w:r w:rsidR="004C5865" w:rsidRPr="004C5865">
        <w:rPr>
          <w:rFonts w:ascii="Times New Roman" w:eastAsia="Calibri" w:hAnsi="Times New Roman" w:cs="Times New Roman"/>
          <w:sz w:val="24"/>
          <w:szCs w:val="24"/>
          <w:lang w:val="ro-RO"/>
        </w:rPr>
        <w:t xml:space="preserve"> - instituind şi remedii procesuale, demersurile efectuate de organele de urmărire penală nu se pot bucura întotdeauna de certitudinea informaţiei privind afacerile judiciare ale persoanei </w:t>
      </w:r>
      <w:r w:rsidRPr="00D739A9">
        <w:rPr>
          <w:rFonts w:ascii="Times New Roman" w:eastAsia="Calibri" w:hAnsi="Times New Roman" w:cs="Times New Roman"/>
          <w:sz w:val="24"/>
          <w:szCs w:val="24"/>
          <w:lang w:val="ro-RO"/>
        </w:rPr>
        <w:t>care urmează</w:t>
      </w:r>
      <w:r w:rsidR="004C5865" w:rsidRPr="00D739A9">
        <w:rPr>
          <w:rFonts w:ascii="Times New Roman" w:eastAsia="Calibri" w:hAnsi="Times New Roman" w:cs="Times New Roman"/>
          <w:sz w:val="24"/>
          <w:szCs w:val="24"/>
          <w:lang w:val="ro-RO"/>
        </w:rPr>
        <w:t xml:space="preserve"> </w:t>
      </w:r>
      <w:r w:rsidR="004C5865" w:rsidRPr="004C5865">
        <w:rPr>
          <w:rFonts w:ascii="Times New Roman" w:eastAsia="Calibri" w:hAnsi="Times New Roman" w:cs="Times New Roman"/>
          <w:sz w:val="24"/>
          <w:szCs w:val="24"/>
          <w:lang w:val="ro-RO"/>
        </w:rPr>
        <w:t>a fi trimisă în judecată. Dacă la nivel intern există posibilitatea unor verificări complete cu răspuns neechivoc, nu ace</w:t>
      </w:r>
      <w:r w:rsidR="000B51D9">
        <w:rPr>
          <w:rFonts w:ascii="Times New Roman" w:eastAsia="Calibri" w:hAnsi="Times New Roman" w:cs="Times New Roman"/>
          <w:sz w:val="24"/>
          <w:szCs w:val="24"/>
          <w:lang w:val="ro-RO"/>
        </w:rPr>
        <w:t>eaș</w:t>
      </w:r>
      <w:r w:rsidR="004C5865" w:rsidRPr="004C5865">
        <w:rPr>
          <w:rFonts w:ascii="Times New Roman" w:eastAsia="Calibri" w:hAnsi="Times New Roman" w:cs="Times New Roman"/>
          <w:sz w:val="24"/>
          <w:szCs w:val="24"/>
          <w:lang w:val="ro-RO"/>
        </w:rPr>
        <w:t>i este situa</w:t>
      </w:r>
      <w:r w:rsidR="000B51D9">
        <w:rPr>
          <w:rFonts w:ascii="Times New Roman" w:eastAsia="Calibri" w:hAnsi="Times New Roman" w:cs="Times New Roman"/>
          <w:sz w:val="24"/>
          <w:szCs w:val="24"/>
          <w:lang w:val="ro-RO"/>
        </w:rPr>
        <w:t>ț</w:t>
      </w:r>
      <w:r w:rsidR="004C5865" w:rsidRPr="004C5865">
        <w:rPr>
          <w:rFonts w:ascii="Times New Roman" w:eastAsia="Calibri" w:hAnsi="Times New Roman" w:cs="Times New Roman"/>
          <w:sz w:val="24"/>
          <w:szCs w:val="24"/>
          <w:lang w:val="ro-RO"/>
        </w:rPr>
        <w:t>ia verificărilor în alte state. Verificările ce pot fi efectuate se rezumă la menţiunile din bazele de date interne (uneori neactualizate) la solicitarea de date prin intermediul Centrului de Cooperare Poliţienească Internaţională (care fie înaintează o informare în baza răspunsurilor primite de la state ter</w:t>
      </w:r>
      <w:r w:rsidR="000B51D9">
        <w:rPr>
          <w:rFonts w:ascii="Times New Roman" w:eastAsia="Calibri" w:hAnsi="Times New Roman" w:cs="Times New Roman"/>
          <w:sz w:val="24"/>
          <w:szCs w:val="24"/>
          <w:lang w:val="ro-RO"/>
        </w:rPr>
        <w:t>ț</w:t>
      </w:r>
      <w:r w:rsidR="004C5865" w:rsidRPr="004C5865">
        <w:rPr>
          <w:rFonts w:ascii="Times New Roman" w:eastAsia="Calibri" w:hAnsi="Times New Roman" w:cs="Times New Roman"/>
          <w:sz w:val="24"/>
          <w:szCs w:val="24"/>
          <w:lang w:val="ro-RO"/>
        </w:rPr>
        <w:t xml:space="preserve">e până la un anumit moment – deci incomplet, fie solicită precizarea unui anumit stat </w:t>
      </w:r>
      <w:r w:rsidR="004C5865" w:rsidRPr="004C5865">
        <w:rPr>
          <w:rFonts w:ascii="Times New Roman" w:eastAsia="Calibri" w:hAnsi="Times New Roman" w:cs="Times New Roman"/>
          <w:sz w:val="24"/>
          <w:szCs w:val="24"/>
          <w:lang w:val="ro-RO"/>
        </w:rPr>
        <w:lastRenderedPageBreak/>
        <w:t>căruia să i se adreseze) sau la solicitarea de informaţii de la Departamentul Consular din cadrul Ministerului Afacerilor Externe (relativ necooperant şi sugerând efectuarea de verificări prin intermediul altor instituţii)</w:t>
      </w:r>
    </w:p>
    <w:p w:rsidR="004C5865" w:rsidRDefault="000B51D9" w:rsidP="004C5865">
      <w:pPr>
        <w:spacing w:after="0" w:line="36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w:t>
      </w:r>
      <w:r w:rsidR="004C5865" w:rsidRPr="004C5865">
        <w:rPr>
          <w:rFonts w:ascii="Times New Roman" w:eastAsia="Calibri" w:hAnsi="Times New Roman" w:cs="Times New Roman"/>
          <w:sz w:val="24"/>
          <w:szCs w:val="24"/>
          <w:lang w:val="ro-RO"/>
        </w:rPr>
        <w:t>)</w:t>
      </w:r>
      <w:r w:rsidR="004C5865">
        <w:rPr>
          <w:rFonts w:ascii="Times New Roman" w:eastAsia="Calibri" w:hAnsi="Times New Roman" w:cs="Times New Roman"/>
          <w:sz w:val="24"/>
          <w:szCs w:val="24"/>
          <w:lang w:val="ro-RO"/>
        </w:rPr>
        <w:t xml:space="preserve"> </w:t>
      </w:r>
      <w:r w:rsidR="004C5865" w:rsidRPr="004C5865">
        <w:rPr>
          <w:rFonts w:ascii="Times New Roman" w:eastAsia="Calibri" w:hAnsi="Times New Roman" w:cs="Times New Roman"/>
          <w:sz w:val="24"/>
          <w:szCs w:val="24"/>
          <w:lang w:val="ro-RO"/>
        </w:rPr>
        <w:t xml:space="preserve"> Inexisten</w:t>
      </w:r>
      <w:r>
        <w:rPr>
          <w:rFonts w:ascii="Times New Roman" w:eastAsia="Calibri" w:hAnsi="Times New Roman" w:cs="Times New Roman"/>
          <w:sz w:val="24"/>
          <w:szCs w:val="24"/>
          <w:lang w:val="ro-RO"/>
        </w:rPr>
        <w:t>ț</w:t>
      </w:r>
      <w:r w:rsidR="004C5865" w:rsidRPr="004C5865">
        <w:rPr>
          <w:rFonts w:ascii="Times New Roman" w:eastAsia="Calibri" w:hAnsi="Times New Roman" w:cs="Times New Roman"/>
          <w:sz w:val="24"/>
          <w:szCs w:val="24"/>
          <w:lang w:val="ro-RO"/>
        </w:rPr>
        <w:t>a unor standarde privind sesizările din oficiu formulate în temeiul art. 61 Cod procedură penală sau asimilarea artificia</w:t>
      </w:r>
      <w:r w:rsidR="004C5865">
        <w:rPr>
          <w:rFonts w:ascii="Times New Roman" w:eastAsia="Calibri" w:hAnsi="Times New Roman" w:cs="Times New Roman"/>
          <w:sz w:val="24"/>
          <w:szCs w:val="24"/>
          <w:lang w:val="ro-RO"/>
        </w:rPr>
        <w:t>lă a unor informări cu denunțul. Un exemplu este descoperit în redactarea</w:t>
      </w:r>
      <w:r w:rsidR="004C5865" w:rsidRPr="004C5865">
        <w:rPr>
          <w:rFonts w:ascii="Times New Roman" w:eastAsia="Calibri" w:hAnsi="Times New Roman" w:cs="Times New Roman"/>
          <w:sz w:val="24"/>
          <w:szCs w:val="24"/>
          <w:lang w:val="ro-RO"/>
        </w:rPr>
        <w:t xml:space="preserve"> Notei de opinie in </w:t>
      </w:r>
      <w:r w:rsidR="004C5865">
        <w:rPr>
          <w:rFonts w:ascii="Times New Roman" w:eastAsia="Calibri" w:hAnsi="Times New Roman" w:cs="Times New Roman"/>
          <w:sz w:val="24"/>
          <w:szCs w:val="24"/>
          <w:lang w:val="ro-RO"/>
        </w:rPr>
        <w:t>materia</w:t>
      </w:r>
      <w:r w:rsidR="004C5865" w:rsidRPr="004C5865">
        <w:rPr>
          <w:rFonts w:ascii="Times New Roman" w:eastAsia="Calibri" w:hAnsi="Times New Roman" w:cs="Times New Roman"/>
          <w:sz w:val="24"/>
          <w:szCs w:val="24"/>
          <w:lang w:val="ro-RO"/>
        </w:rPr>
        <w:t xml:space="preserve"> </w:t>
      </w:r>
      <w:r w:rsidR="004C5865">
        <w:rPr>
          <w:rFonts w:ascii="Times New Roman" w:eastAsia="Calibri" w:hAnsi="Times New Roman" w:cs="Times New Roman"/>
          <w:sz w:val="24"/>
          <w:szCs w:val="24"/>
          <w:lang w:val="ro-RO"/>
        </w:rPr>
        <w:t xml:space="preserve">spălării banilor </w:t>
      </w:r>
      <w:r w:rsidR="004C5865" w:rsidRPr="004C5865">
        <w:rPr>
          <w:rFonts w:ascii="Times New Roman" w:eastAsia="Calibri" w:hAnsi="Times New Roman" w:cs="Times New Roman"/>
          <w:sz w:val="24"/>
          <w:szCs w:val="24"/>
          <w:lang w:val="ro-RO"/>
        </w:rPr>
        <w:t>aprobata de Consiliul științific al PICCJ</w:t>
      </w:r>
      <w:r w:rsidR="004C5865">
        <w:rPr>
          <w:rFonts w:ascii="Times New Roman" w:eastAsia="Calibri" w:hAnsi="Times New Roman" w:cs="Times New Roman"/>
          <w:sz w:val="24"/>
          <w:szCs w:val="24"/>
          <w:lang w:val="ro-RO"/>
        </w:rPr>
        <w:t xml:space="preserve">, contrar principiului legal că </w:t>
      </w:r>
      <w:r w:rsidR="004C5865" w:rsidRPr="004C5865">
        <w:rPr>
          <w:rFonts w:ascii="Times New Roman" w:eastAsia="Calibri" w:hAnsi="Times New Roman" w:cs="Times New Roman"/>
          <w:sz w:val="24"/>
          <w:szCs w:val="24"/>
          <w:lang w:val="ro-RO"/>
        </w:rPr>
        <w:t>informările ONPCSB au în vedere în special fluxurile financiare şi schemele de spălare a banilor, având informații lacu</w:t>
      </w:r>
      <w:r w:rsidR="004C5865">
        <w:rPr>
          <w:rFonts w:ascii="Times New Roman" w:eastAsia="Calibri" w:hAnsi="Times New Roman" w:cs="Times New Roman"/>
          <w:sz w:val="24"/>
          <w:szCs w:val="24"/>
          <w:lang w:val="ro-RO"/>
        </w:rPr>
        <w:t>nare în privinţa infracţiunii-</w:t>
      </w:r>
      <w:r w:rsidR="004C5865" w:rsidRPr="004C5865">
        <w:rPr>
          <w:rFonts w:ascii="Times New Roman" w:eastAsia="Calibri" w:hAnsi="Times New Roman" w:cs="Times New Roman"/>
          <w:sz w:val="24"/>
          <w:szCs w:val="24"/>
          <w:lang w:val="ro-RO"/>
        </w:rPr>
        <w:t xml:space="preserve">predicat. </w:t>
      </w:r>
    </w:p>
    <w:p w:rsidR="004C5865" w:rsidRPr="004C5865" w:rsidRDefault="004C5865" w:rsidP="004C5865">
      <w:pPr>
        <w:spacing w:after="0" w:line="360" w:lineRule="auto"/>
        <w:ind w:firstLine="720"/>
        <w:jc w:val="both"/>
        <w:rPr>
          <w:rFonts w:ascii="Times New Roman" w:eastAsia="Calibri" w:hAnsi="Times New Roman" w:cs="Times New Roman"/>
          <w:sz w:val="24"/>
          <w:szCs w:val="24"/>
          <w:lang w:val="ro-RO"/>
        </w:rPr>
      </w:pPr>
    </w:p>
    <w:p w:rsidR="004C5865" w:rsidRPr="004C5865" w:rsidRDefault="004C5865" w:rsidP="004C5865">
      <w:pPr>
        <w:spacing w:after="0" w:line="360" w:lineRule="auto"/>
        <w:ind w:firstLine="720"/>
        <w:jc w:val="both"/>
        <w:rPr>
          <w:rFonts w:ascii="Times New Roman" w:eastAsia="Calibri" w:hAnsi="Times New Roman" w:cs="Times New Roman"/>
          <w:sz w:val="24"/>
          <w:szCs w:val="24"/>
          <w:lang w:val="ro-RO"/>
        </w:rPr>
      </w:pPr>
    </w:p>
    <w:p w:rsidR="00604E90" w:rsidRDefault="00604E90" w:rsidP="004D29D5">
      <w:pPr>
        <w:tabs>
          <w:tab w:val="left" w:pos="1275"/>
        </w:tabs>
        <w:rPr>
          <w:rFonts w:ascii="Times New Roman" w:hAnsi="Times New Roman" w:cs="Times New Roman"/>
          <w:b/>
          <w:sz w:val="24"/>
          <w:szCs w:val="24"/>
          <w:u w:val="single"/>
          <w:lang w:val="ro-RO"/>
        </w:rPr>
      </w:pPr>
      <w:r w:rsidRPr="00604E90">
        <w:rPr>
          <w:rFonts w:ascii="Times New Roman" w:hAnsi="Times New Roman" w:cs="Times New Roman"/>
          <w:b/>
          <w:sz w:val="24"/>
          <w:szCs w:val="24"/>
          <w:lang w:val="ro-RO"/>
        </w:rPr>
        <w:tab/>
      </w:r>
      <w:r w:rsidR="004D29D5" w:rsidRPr="00D67A20">
        <w:rPr>
          <w:rFonts w:ascii="Times New Roman" w:hAnsi="Times New Roman" w:cs="Times New Roman"/>
          <w:b/>
          <w:sz w:val="24"/>
          <w:szCs w:val="24"/>
          <w:u w:val="single"/>
          <w:lang w:val="ro-RO"/>
        </w:rPr>
        <w:t>Capitolul IV</w:t>
      </w:r>
    </w:p>
    <w:p w:rsidR="004D29D5" w:rsidRDefault="00A70C96" w:rsidP="004D29D5">
      <w:pPr>
        <w:tabs>
          <w:tab w:val="left" w:pos="1275"/>
        </w:tabs>
        <w:rPr>
          <w:rFonts w:ascii="Times New Roman" w:hAnsi="Times New Roman" w:cs="Times New Roman"/>
          <w:sz w:val="24"/>
          <w:szCs w:val="24"/>
          <w:lang w:val="ro-RO"/>
        </w:rPr>
      </w:pPr>
      <w:r w:rsidRPr="00A70C96">
        <w:rPr>
          <w:rFonts w:ascii="Times New Roman" w:hAnsi="Times New Roman" w:cs="Times New Roman"/>
          <w:b/>
          <w:sz w:val="24"/>
          <w:szCs w:val="24"/>
          <w:lang w:val="ro-RO"/>
        </w:rPr>
        <w:tab/>
      </w:r>
      <w:r w:rsidR="004D29D5" w:rsidRPr="00D67A20">
        <w:rPr>
          <w:rFonts w:ascii="Times New Roman" w:hAnsi="Times New Roman" w:cs="Times New Roman"/>
          <w:b/>
          <w:sz w:val="24"/>
          <w:szCs w:val="24"/>
          <w:u w:val="single"/>
          <w:lang w:val="ro-RO"/>
        </w:rPr>
        <w:t xml:space="preserve"> </w:t>
      </w:r>
      <w:r w:rsidR="00782D7E">
        <w:rPr>
          <w:rFonts w:ascii="Times New Roman" w:hAnsi="Times New Roman" w:cs="Times New Roman"/>
          <w:b/>
          <w:sz w:val="24"/>
          <w:szCs w:val="24"/>
          <w:u w:val="single"/>
          <w:lang w:val="ro-RO"/>
        </w:rPr>
        <w:t>Oportunități și priorități manageriale ale noului mandat</w:t>
      </w:r>
    </w:p>
    <w:p w:rsidR="00782D7E" w:rsidRDefault="00782D7E" w:rsidP="004D29D5">
      <w:pPr>
        <w:tabs>
          <w:tab w:val="left" w:pos="1275"/>
        </w:tabs>
        <w:rPr>
          <w:rFonts w:ascii="Times New Roman" w:hAnsi="Times New Roman" w:cs="Times New Roman"/>
          <w:sz w:val="24"/>
          <w:szCs w:val="24"/>
          <w:lang w:val="ro-RO"/>
        </w:rPr>
      </w:pPr>
    </w:p>
    <w:p w:rsidR="00782D7E" w:rsidRDefault="00782D7E" w:rsidP="00782D7E">
      <w:pPr>
        <w:tabs>
          <w:tab w:val="left" w:pos="1275"/>
        </w:tabs>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Plecând de la problemele de sistem identificate din experiența acumulată în activitatea de procuror, atent la nevoile Ministerului Public și încredințat că trebuie să identificăm în echipă instrumentele cu care să neutralizăm vulnerabilitățile cu posibilitățile oferite de lege, consider că prioritățile mandatului Procurorului general trebuie să se </w:t>
      </w:r>
      <w:r w:rsidR="00604E90">
        <w:rPr>
          <w:rFonts w:ascii="Times New Roman" w:hAnsi="Times New Roman" w:cs="Times New Roman"/>
          <w:sz w:val="24"/>
          <w:szCs w:val="24"/>
          <w:lang w:val="ro-RO"/>
        </w:rPr>
        <w:t>c</w:t>
      </w:r>
      <w:r>
        <w:rPr>
          <w:rFonts w:ascii="Times New Roman" w:hAnsi="Times New Roman" w:cs="Times New Roman"/>
          <w:sz w:val="24"/>
          <w:szCs w:val="24"/>
          <w:lang w:val="ro-RO"/>
        </w:rPr>
        <w:t>entreze pe următoarele obiective:</w:t>
      </w:r>
    </w:p>
    <w:p w:rsidR="00A818C0" w:rsidRDefault="00A818C0" w:rsidP="00604E90">
      <w:pPr>
        <w:tabs>
          <w:tab w:val="left" w:pos="1275"/>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adoptarea Analizei Naționale de Riscuri și Amenințări care să conducă la crearea primei strategii naționale integrate</w:t>
      </w:r>
      <w:r w:rsidR="00410873">
        <w:rPr>
          <w:rFonts w:ascii="Times New Roman" w:hAnsi="Times New Roman" w:cs="Times New Roman"/>
          <w:sz w:val="24"/>
          <w:szCs w:val="24"/>
          <w:lang w:val="ro-RO"/>
        </w:rPr>
        <w:t xml:space="preserve"> pentru întreaga gamă infracțională, de la infracțiunile grave la cele stradale</w:t>
      </w:r>
      <w:r>
        <w:rPr>
          <w:rFonts w:ascii="Times New Roman" w:hAnsi="Times New Roman" w:cs="Times New Roman"/>
          <w:sz w:val="24"/>
          <w:szCs w:val="24"/>
          <w:lang w:val="ro-RO"/>
        </w:rPr>
        <w:t>;</w:t>
      </w:r>
    </w:p>
    <w:p w:rsidR="00A818C0" w:rsidRDefault="00A818C0" w:rsidP="00604E90">
      <w:pPr>
        <w:tabs>
          <w:tab w:val="left" w:pos="1275"/>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gestionarea stocului uriaș de dosare penale prin identificarea de oportunități de natură să înlăture inechitățile de repartizare și dinamizarea activității parchetelor de pe lângă cur</w:t>
      </w:r>
      <w:r w:rsidR="00604E90">
        <w:rPr>
          <w:rFonts w:ascii="Times New Roman" w:hAnsi="Times New Roman" w:cs="Times New Roman"/>
          <w:sz w:val="24"/>
          <w:szCs w:val="24"/>
          <w:lang w:val="ro-RO"/>
        </w:rPr>
        <w:t>ți</w:t>
      </w:r>
      <w:r>
        <w:rPr>
          <w:rFonts w:ascii="Times New Roman" w:hAnsi="Times New Roman" w:cs="Times New Roman"/>
          <w:sz w:val="24"/>
          <w:szCs w:val="24"/>
          <w:lang w:val="ro-RO"/>
        </w:rPr>
        <w:t>l</w:t>
      </w:r>
      <w:r w:rsidR="00604E90">
        <w:rPr>
          <w:rFonts w:ascii="Times New Roman" w:hAnsi="Times New Roman" w:cs="Times New Roman"/>
          <w:sz w:val="24"/>
          <w:szCs w:val="24"/>
          <w:lang w:val="ro-RO"/>
        </w:rPr>
        <w:t>e</w:t>
      </w:r>
      <w:r>
        <w:rPr>
          <w:rFonts w:ascii="Times New Roman" w:hAnsi="Times New Roman" w:cs="Times New Roman"/>
          <w:sz w:val="24"/>
          <w:szCs w:val="24"/>
          <w:lang w:val="ro-RO"/>
        </w:rPr>
        <w:t xml:space="preserve"> de apel și de pe lângă tribunale, revăzând competențele și schemele de personal;</w:t>
      </w:r>
    </w:p>
    <w:p w:rsidR="00A818C0" w:rsidRPr="00A818C0" w:rsidRDefault="00782D7E" w:rsidP="00604E90">
      <w:pPr>
        <w:tabs>
          <w:tab w:val="left" w:pos="1275"/>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w:t>
      </w:r>
      <w:r w:rsidRPr="00782D7E">
        <w:t xml:space="preserve"> </w:t>
      </w:r>
      <w:r w:rsidR="00604E90">
        <w:rPr>
          <w:rFonts w:ascii="Times New Roman" w:hAnsi="Times New Roman" w:cs="Times New Roman"/>
          <w:sz w:val="24"/>
          <w:szCs w:val="24"/>
          <w:lang w:val="ro-RO"/>
        </w:rPr>
        <w:t>î</w:t>
      </w:r>
      <w:r w:rsidR="00A818C0" w:rsidRPr="00A818C0">
        <w:rPr>
          <w:rFonts w:ascii="Times New Roman" w:hAnsi="Times New Roman" w:cs="Times New Roman"/>
          <w:sz w:val="24"/>
          <w:szCs w:val="24"/>
          <w:lang w:val="ro-RO"/>
        </w:rPr>
        <w:t xml:space="preserve">ndeplinirea condiționalităților </w:t>
      </w:r>
      <w:r w:rsidR="00604E90">
        <w:rPr>
          <w:rFonts w:ascii="Times New Roman" w:hAnsi="Times New Roman" w:cs="Times New Roman"/>
          <w:sz w:val="24"/>
          <w:szCs w:val="24"/>
          <w:lang w:val="ro-RO"/>
        </w:rPr>
        <w:t>c</w:t>
      </w:r>
      <w:r w:rsidR="00A818C0" w:rsidRPr="00A818C0">
        <w:rPr>
          <w:rFonts w:ascii="Times New Roman" w:hAnsi="Times New Roman" w:cs="Times New Roman"/>
          <w:sz w:val="24"/>
          <w:szCs w:val="24"/>
          <w:lang w:val="ro-RO"/>
        </w:rPr>
        <w:t>e revin Ministerului Public conform Mecanismului de Cooperare și Verificare, în special în ceea ce presupune lupta anticorupție, și uniformizarea practicii judiciare;</w:t>
      </w:r>
    </w:p>
    <w:p w:rsidR="00782D7E" w:rsidRDefault="00A818C0" w:rsidP="00604E90">
      <w:pPr>
        <w:tabs>
          <w:tab w:val="left" w:pos="1275"/>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rPr>
        <w:tab/>
        <w:t xml:space="preserve">- </w:t>
      </w:r>
      <w:r w:rsidR="00604E90">
        <w:rPr>
          <w:rFonts w:ascii="Times New Roman" w:hAnsi="Times New Roman" w:cs="Times New Roman"/>
          <w:sz w:val="24"/>
          <w:szCs w:val="24"/>
          <w:lang w:val="ro-RO"/>
        </w:rPr>
        <w:t>d</w:t>
      </w:r>
      <w:r w:rsidR="00782D7E" w:rsidRPr="00A818C0">
        <w:rPr>
          <w:rFonts w:ascii="Times New Roman" w:hAnsi="Times New Roman" w:cs="Times New Roman"/>
          <w:sz w:val="24"/>
          <w:szCs w:val="24"/>
          <w:lang w:val="ro-RO"/>
        </w:rPr>
        <w:t>imensionarea</w:t>
      </w:r>
      <w:r w:rsidR="00782D7E" w:rsidRPr="00782D7E">
        <w:rPr>
          <w:rFonts w:ascii="Times New Roman" w:hAnsi="Times New Roman" w:cs="Times New Roman"/>
          <w:sz w:val="24"/>
          <w:szCs w:val="24"/>
          <w:lang w:val="ro-RO"/>
        </w:rPr>
        <w:t xml:space="preserve"> adecvată a activităţii </w:t>
      </w:r>
      <w:r>
        <w:rPr>
          <w:rFonts w:ascii="Times New Roman" w:hAnsi="Times New Roman" w:cs="Times New Roman"/>
          <w:sz w:val="24"/>
          <w:szCs w:val="24"/>
          <w:lang w:val="ro-RO"/>
        </w:rPr>
        <w:t>unităților de parchet de diferite grade de jurisdicție</w:t>
      </w:r>
      <w:r w:rsidR="00782D7E" w:rsidRPr="00782D7E">
        <w:rPr>
          <w:rFonts w:ascii="Times New Roman" w:hAnsi="Times New Roman" w:cs="Times New Roman"/>
          <w:sz w:val="24"/>
          <w:szCs w:val="24"/>
          <w:lang w:val="ro-RO"/>
        </w:rPr>
        <w:t xml:space="preserve">, în cadrul activităţii generale a </w:t>
      </w:r>
      <w:r w:rsidR="00782D7E">
        <w:rPr>
          <w:rFonts w:ascii="Times New Roman" w:hAnsi="Times New Roman" w:cs="Times New Roman"/>
          <w:sz w:val="24"/>
          <w:szCs w:val="24"/>
          <w:lang w:val="ro-RO"/>
        </w:rPr>
        <w:t>Ministerului Public</w:t>
      </w:r>
      <w:r w:rsidR="00782D7E" w:rsidRPr="00782D7E">
        <w:rPr>
          <w:rFonts w:ascii="Times New Roman" w:hAnsi="Times New Roman" w:cs="Times New Roman"/>
          <w:sz w:val="24"/>
          <w:szCs w:val="24"/>
          <w:lang w:val="ro-RO"/>
        </w:rPr>
        <w:t>, pornind de la numărul total de cauze de soluţionat înregistrate</w:t>
      </w:r>
      <w:r>
        <w:rPr>
          <w:rFonts w:ascii="Times New Roman" w:hAnsi="Times New Roman" w:cs="Times New Roman"/>
          <w:sz w:val="24"/>
          <w:szCs w:val="24"/>
          <w:lang w:val="ro-RO"/>
        </w:rPr>
        <w:t>, de la competenţe</w:t>
      </w:r>
      <w:r w:rsidR="00782D7E" w:rsidRPr="00782D7E">
        <w:rPr>
          <w:rFonts w:ascii="Times New Roman" w:hAnsi="Times New Roman" w:cs="Times New Roman"/>
          <w:sz w:val="24"/>
          <w:szCs w:val="24"/>
          <w:lang w:val="ro-RO"/>
        </w:rPr>
        <w:t xml:space="preserve"> şi numărul de procurori </w:t>
      </w:r>
      <w:r>
        <w:rPr>
          <w:rFonts w:ascii="Times New Roman" w:hAnsi="Times New Roman" w:cs="Times New Roman"/>
          <w:sz w:val="24"/>
          <w:szCs w:val="24"/>
          <w:lang w:val="ro-RO"/>
        </w:rPr>
        <w:t>care își desfășoară activitatea în cad</w:t>
      </w:r>
      <w:r w:rsidR="00604E90">
        <w:rPr>
          <w:rFonts w:ascii="Times New Roman" w:hAnsi="Times New Roman" w:cs="Times New Roman"/>
          <w:sz w:val="24"/>
          <w:szCs w:val="24"/>
          <w:lang w:val="ro-RO"/>
        </w:rPr>
        <w:t>r</w:t>
      </w:r>
      <w:r>
        <w:rPr>
          <w:rFonts w:ascii="Times New Roman" w:hAnsi="Times New Roman" w:cs="Times New Roman"/>
          <w:sz w:val="24"/>
          <w:szCs w:val="24"/>
          <w:lang w:val="ro-RO"/>
        </w:rPr>
        <w:t>ul parchetelor;</w:t>
      </w:r>
    </w:p>
    <w:p w:rsidR="00A818C0" w:rsidRDefault="00A818C0" w:rsidP="00604E90">
      <w:pPr>
        <w:tabs>
          <w:tab w:val="left" w:pos="1275"/>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ab/>
        <w:t xml:space="preserve">- </w:t>
      </w:r>
      <w:r w:rsidR="00410873">
        <w:rPr>
          <w:rFonts w:ascii="Times New Roman" w:hAnsi="Times New Roman" w:cs="Times New Roman"/>
          <w:sz w:val="24"/>
          <w:szCs w:val="24"/>
          <w:lang w:val="ro-RO"/>
        </w:rPr>
        <w:t>identificarea, pe cale analizei naționale, a infrac</w:t>
      </w:r>
      <w:r w:rsidR="00604E90">
        <w:rPr>
          <w:rFonts w:ascii="Times New Roman" w:hAnsi="Times New Roman" w:cs="Times New Roman"/>
          <w:sz w:val="24"/>
          <w:szCs w:val="24"/>
          <w:lang w:val="ro-RO"/>
        </w:rPr>
        <w:t>ț</w:t>
      </w:r>
      <w:r w:rsidR="00410873">
        <w:rPr>
          <w:rFonts w:ascii="Times New Roman" w:hAnsi="Times New Roman" w:cs="Times New Roman"/>
          <w:sz w:val="24"/>
          <w:szCs w:val="24"/>
          <w:lang w:val="ro-RO"/>
        </w:rPr>
        <w:t>iunilor care fac obiectul criminalității organizate, deși nu fac parte din competența materială a structurii specializate și identificarea unor moduri adecvate de combatere;</w:t>
      </w:r>
    </w:p>
    <w:p w:rsidR="00410873" w:rsidRDefault="00410873" w:rsidP="00604E90">
      <w:pPr>
        <w:tabs>
          <w:tab w:val="left" w:pos="1275"/>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 </w:t>
      </w:r>
      <w:r w:rsidR="004F7D40">
        <w:rPr>
          <w:rFonts w:ascii="Times New Roman" w:hAnsi="Times New Roman" w:cs="Times New Roman"/>
          <w:sz w:val="24"/>
          <w:szCs w:val="24"/>
          <w:lang w:val="ro-RO"/>
        </w:rPr>
        <w:t>identificarea disfuncționalităților, a derapajelor din sistem și a posibilelor încălcări ale normelor de etică și deontologie profesională, dacă acestea există, și luarea de măsuri ferme împotriva acestora, pentru evitarea repercutării percepției publice negative asupra întregului Minister Public;</w:t>
      </w:r>
    </w:p>
    <w:p w:rsidR="004F7D40" w:rsidRDefault="004F7D40" w:rsidP="00604E90">
      <w:pPr>
        <w:tabs>
          <w:tab w:val="left" w:pos="1275"/>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creșterea capacității operaționale a Ministerului Public prin achiziția de sedii pentru parchetele care întâmpină probleme în desfășurarea activităților specifice;</w:t>
      </w:r>
    </w:p>
    <w:p w:rsidR="004F7D40" w:rsidRDefault="004F7D40" w:rsidP="00604E90">
      <w:pPr>
        <w:tabs>
          <w:tab w:val="left" w:pos="1275"/>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crearea unor colective de specialiști</w:t>
      </w:r>
      <w:r w:rsidR="00604E90">
        <w:rPr>
          <w:rFonts w:ascii="Times New Roman" w:hAnsi="Times New Roman" w:cs="Times New Roman"/>
          <w:sz w:val="24"/>
          <w:szCs w:val="24"/>
          <w:lang w:val="ro-RO"/>
        </w:rPr>
        <w:t>,</w:t>
      </w:r>
      <w:r>
        <w:rPr>
          <w:rFonts w:ascii="Times New Roman" w:hAnsi="Times New Roman" w:cs="Times New Roman"/>
          <w:sz w:val="24"/>
          <w:szCs w:val="24"/>
          <w:lang w:val="ro-RO"/>
        </w:rPr>
        <w:t xml:space="preserve"> capabile să asigure implicarea mai puternică în accesarea de programe europene specifice activităților parchetelor, astfel încât o parte din necesitățile de training specializat și din instrumentele tehnice necesare să poată fi achiziționate cu mijloace europene;</w:t>
      </w:r>
    </w:p>
    <w:p w:rsidR="004F7D40" w:rsidRDefault="004F7D40" w:rsidP="00604E90">
      <w:pPr>
        <w:tabs>
          <w:tab w:val="left" w:pos="1275"/>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 </w:t>
      </w:r>
      <w:r w:rsidR="00E44EE9">
        <w:rPr>
          <w:rFonts w:ascii="Times New Roman" w:hAnsi="Times New Roman" w:cs="Times New Roman"/>
          <w:sz w:val="24"/>
          <w:szCs w:val="24"/>
          <w:lang w:val="ro-RO"/>
        </w:rPr>
        <w:t>îmbunătățirea comunicării publice, cu respectarea limitelor impuse de lege și a discreției anchetei penale, de natură a îmbunătăți atât imaginea parchetelor, cât și protejarea imaginii publice a procur</w:t>
      </w:r>
      <w:r w:rsidR="00825D69">
        <w:rPr>
          <w:rFonts w:ascii="Times New Roman" w:hAnsi="Times New Roman" w:cs="Times New Roman"/>
          <w:sz w:val="24"/>
          <w:szCs w:val="24"/>
          <w:lang w:val="ro-RO"/>
        </w:rPr>
        <w:t>orilor;</w:t>
      </w:r>
    </w:p>
    <w:p w:rsidR="00825D69" w:rsidRPr="00782D7E" w:rsidRDefault="00825D69" w:rsidP="00604E90">
      <w:pPr>
        <w:tabs>
          <w:tab w:val="left" w:pos="1275"/>
        </w:tabs>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cooperarea instituțională mai eficientă cu Consiliul Superior al Magistraturii, în special în plenul acestuia.</w:t>
      </w:r>
    </w:p>
    <w:p w:rsidR="00A70C96" w:rsidRDefault="00A70C96" w:rsidP="004D29D5">
      <w:pPr>
        <w:ind w:firstLine="720"/>
        <w:rPr>
          <w:rFonts w:ascii="Times New Roman" w:hAnsi="Times New Roman" w:cs="Times New Roman"/>
          <w:b/>
          <w:sz w:val="24"/>
          <w:szCs w:val="24"/>
          <w:u w:val="single"/>
          <w:lang w:val="ro-RO"/>
        </w:rPr>
      </w:pPr>
    </w:p>
    <w:p w:rsidR="00410873" w:rsidRDefault="009778A5" w:rsidP="004D29D5">
      <w:pPr>
        <w:ind w:firstLine="720"/>
        <w:rPr>
          <w:rFonts w:ascii="Times New Roman" w:hAnsi="Times New Roman" w:cs="Times New Roman"/>
          <w:b/>
          <w:sz w:val="24"/>
          <w:szCs w:val="24"/>
          <w:u w:val="single"/>
          <w:lang w:val="ro-RO"/>
        </w:rPr>
      </w:pPr>
      <w:r w:rsidRPr="009778A5">
        <w:rPr>
          <w:rFonts w:ascii="Times New Roman" w:hAnsi="Times New Roman" w:cs="Times New Roman"/>
          <w:b/>
          <w:sz w:val="24"/>
          <w:szCs w:val="24"/>
          <w:lang w:val="ro-RO"/>
        </w:rPr>
        <w:tab/>
      </w:r>
      <w:r w:rsidR="004D29D5" w:rsidRPr="00782D7E">
        <w:rPr>
          <w:rFonts w:ascii="Times New Roman" w:hAnsi="Times New Roman" w:cs="Times New Roman"/>
          <w:b/>
          <w:sz w:val="24"/>
          <w:szCs w:val="24"/>
          <w:u w:val="single"/>
          <w:lang w:val="ro-RO"/>
        </w:rPr>
        <w:t>Concluzii</w:t>
      </w:r>
    </w:p>
    <w:p w:rsidR="00410873" w:rsidRDefault="00410873" w:rsidP="00410873">
      <w:pPr>
        <w:rPr>
          <w:rFonts w:ascii="Times New Roman" w:hAnsi="Times New Roman" w:cs="Times New Roman"/>
          <w:sz w:val="24"/>
          <w:szCs w:val="24"/>
          <w:lang w:val="ro-RO"/>
        </w:rPr>
      </w:pPr>
    </w:p>
    <w:p w:rsidR="00825D69" w:rsidRDefault="00E44EE9" w:rsidP="00825D69">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B83393">
        <w:rPr>
          <w:rFonts w:ascii="Times New Roman" w:hAnsi="Times New Roman" w:cs="Times New Roman"/>
          <w:sz w:val="24"/>
          <w:szCs w:val="24"/>
          <w:lang w:val="ro-RO"/>
        </w:rPr>
        <w:t>Ne găsim astăzi, după 30 de ani de democra</w:t>
      </w:r>
      <w:r w:rsidR="00825D69">
        <w:rPr>
          <w:rFonts w:ascii="Times New Roman" w:hAnsi="Times New Roman" w:cs="Times New Roman"/>
          <w:sz w:val="24"/>
          <w:szCs w:val="24"/>
          <w:lang w:val="ro-RO"/>
        </w:rPr>
        <w:t>ț</w:t>
      </w:r>
      <w:r w:rsidR="00B83393">
        <w:rPr>
          <w:rFonts w:ascii="Times New Roman" w:hAnsi="Times New Roman" w:cs="Times New Roman"/>
          <w:sz w:val="24"/>
          <w:szCs w:val="24"/>
          <w:lang w:val="ro-RO"/>
        </w:rPr>
        <w:t>ie și 12 de membru al Uniunii Europene</w:t>
      </w:r>
      <w:r w:rsidR="00604E90">
        <w:rPr>
          <w:rFonts w:ascii="Times New Roman" w:hAnsi="Times New Roman" w:cs="Times New Roman"/>
          <w:sz w:val="24"/>
          <w:szCs w:val="24"/>
          <w:lang w:val="ro-RO"/>
        </w:rPr>
        <w:t>,</w:t>
      </w:r>
      <w:r w:rsidR="00825D69">
        <w:rPr>
          <w:rFonts w:ascii="Times New Roman" w:hAnsi="Times New Roman" w:cs="Times New Roman"/>
          <w:sz w:val="24"/>
          <w:szCs w:val="24"/>
          <w:lang w:val="ro-RO"/>
        </w:rPr>
        <w:t xml:space="preserve"> într-un moment dificil pentru autoritatea judecătorească în ansamblu. Cooperarea loială între autoritățile statului, un concept modern și apreciat, dar neutilizat în ultima perioadă</w:t>
      </w:r>
      <w:r w:rsidR="00604E90">
        <w:rPr>
          <w:rFonts w:ascii="Times New Roman" w:hAnsi="Times New Roman" w:cs="Times New Roman"/>
          <w:sz w:val="24"/>
          <w:szCs w:val="24"/>
          <w:lang w:val="ro-RO"/>
        </w:rPr>
        <w:t>,</w:t>
      </w:r>
      <w:r w:rsidR="00825D69">
        <w:rPr>
          <w:rFonts w:ascii="Times New Roman" w:hAnsi="Times New Roman" w:cs="Times New Roman"/>
          <w:sz w:val="24"/>
          <w:szCs w:val="24"/>
          <w:lang w:val="ro-RO"/>
        </w:rPr>
        <w:t xml:space="preserve"> ar fi rezolvat cu certitudine multe dintre problemele care le pun uneori pe poziții de adversitate. A existat o singură propunere, în luna </w:t>
      </w:r>
      <w:r w:rsidR="00604E90">
        <w:rPr>
          <w:rFonts w:ascii="Times New Roman" w:hAnsi="Times New Roman" w:cs="Times New Roman"/>
          <w:sz w:val="24"/>
          <w:szCs w:val="24"/>
          <w:lang w:val="ro-RO"/>
        </w:rPr>
        <w:t>i</w:t>
      </w:r>
      <w:r w:rsidR="00825D69">
        <w:rPr>
          <w:rFonts w:ascii="Times New Roman" w:hAnsi="Times New Roman" w:cs="Times New Roman"/>
          <w:sz w:val="24"/>
          <w:szCs w:val="24"/>
          <w:lang w:val="ro-RO"/>
        </w:rPr>
        <w:t>ulie 2007, din partea Comisiei Juridice a Senatului</w:t>
      </w:r>
      <w:r w:rsidR="003F5BEC">
        <w:rPr>
          <w:rFonts w:ascii="Times New Roman" w:hAnsi="Times New Roman" w:cs="Times New Roman"/>
          <w:sz w:val="24"/>
          <w:szCs w:val="24"/>
          <w:lang w:val="ro-RO"/>
        </w:rPr>
        <w:t xml:space="preserve"> către CSM</w:t>
      </w:r>
      <w:r w:rsidR="00825D69">
        <w:rPr>
          <w:rFonts w:ascii="Times New Roman" w:hAnsi="Times New Roman" w:cs="Times New Roman"/>
          <w:sz w:val="24"/>
          <w:szCs w:val="24"/>
          <w:lang w:val="ro-RO"/>
        </w:rPr>
        <w:t xml:space="preserve">, de </w:t>
      </w:r>
      <w:r w:rsidR="003F5BEC">
        <w:rPr>
          <w:rFonts w:ascii="Times New Roman" w:hAnsi="Times New Roman" w:cs="Times New Roman"/>
          <w:sz w:val="24"/>
          <w:szCs w:val="24"/>
          <w:lang w:val="ro-RO"/>
        </w:rPr>
        <w:t>a demara demersurile pentru susținerea unui mecanism de dialog permanent între reprezentanții celor trei Puteri, ai cărui termeni să fie stabiliți într-un memorandum. Demersul nu a fost finalizat.</w:t>
      </w:r>
    </w:p>
    <w:p w:rsidR="00BA212C" w:rsidRDefault="00825D69" w:rsidP="00825D69">
      <w:pPr>
        <w:spacing w:line="360" w:lineRule="auto"/>
        <w:ind w:firstLine="720"/>
        <w:jc w:val="both"/>
        <w:rPr>
          <w:rFonts w:ascii="Times New Roman" w:hAnsi="Times New Roman" w:cs="Times New Roman"/>
          <w:sz w:val="24"/>
          <w:szCs w:val="24"/>
          <w:lang w:val="ro-RO"/>
        </w:rPr>
      </w:pPr>
      <w:r w:rsidRPr="00825D69">
        <w:t xml:space="preserve"> </w:t>
      </w:r>
      <w:r w:rsidR="003F5BEC">
        <w:rPr>
          <w:rFonts w:ascii="Times New Roman" w:hAnsi="Times New Roman" w:cs="Times New Roman"/>
          <w:sz w:val="24"/>
          <w:szCs w:val="24"/>
          <w:lang w:val="ro-RO"/>
        </w:rPr>
        <w:t>În toată această perioadă, în ciuda lipsei acute a unor instrumente precum analiza națională de risc sau strategia națională împotriva fenomenului infracțional, care să cuprindă toate celelalte strategii naționale, precum St</w:t>
      </w:r>
      <w:r w:rsidR="00604E90">
        <w:rPr>
          <w:rFonts w:ascii="Times New Roman" w:hAnsi="Times New Roman" w:cs="Times New Roman"/>
          <w:sz w:val="24"/>
          <w:szCs w:val="24"/>
          <w:lang w:val="ro-RO"/>
        </w:rPr>
        <w:t>ra</w:t>
      </w:r>
      <w:r w:rsidR="003F5BEC">
        <w:rPr>
          <w:rFonts w:ascii="Times New Roman" w:hAnsi="Times New Roman" w:cs="Times New Roman"/>
          <w:sz w:val="24"/>
          <w:szCs w:val="24"/>
          <w:lang w:val="ro-RO"/>
        </w:rPr>
        <w:t>tegia Națională Anticorupție și Strategia Națională împotriva Criminalității Organizate,</w:t>
      </w:r>
      <w:r w:rsidRPr="00825D69">
        <w:rPr>
          <w:rFonts w:ascii="Times New Roman" w:hAnsi="Times New Roman" w:cs="Times New Roman"/>
          <w:sz w:val="24"/>
          <w:szCs w:val="24"/>
          <w:lang w:val="ro-RO"/>
        </w:rPr>
        <w:t xml:space="preserve"> ne găsim în situația de a avea, în diferite stadii de adoptare, strategii sectoriale sau deloc. În prezent, niciuna dintre strategiile de combatere a unor fenomene infracționale elaborate de agenții guvernamentale </w:t>
      </w:r>
      <w:r w:rsidR="003F5BEC">
        <w:rPr>
          <w:rFonts w:ascii="Times New Roman" w:hAnsi="Times New Roman" w:cs="Times New Roman"/>
          <w:sz w:val="24"/>
          <w:szCs w:val="24"/>
          <w:lang w:val="ro-RO"/>
        </w:rPr>
        <w:t>–</w:t>
      </w:r>
      <w:r w:rsidRPr="00825D69">
        <w:rPr>
          <w:rFonts w:ascii="Times New Roman" w:hAnsi="Times New Roman" w:cs="Times New Roman"/>
          <w:sz w:val="24"/>
          <w:szCs w:val="24"/>
          <w:lang w:val="ro-RO"/>
        </w:rPr>
        <w:t xml:space="preserve"> </w:t>
      </w:r>
      <w:r w:rsidR="003F5BEC">
        <w:rPr>
          <w:rFonts w:ascii="Times New Roman" w:hAnsi="Times New Roman" w:cs="Times New Roman"/>
          <w:sz w:val="24"/>
          <w:szCs w:val="24"/>
          <w:lang w:val="ro-RO"/>
        </w:rPr>
        <w:t xml:space="preserve">cum ar fi de </w:t>
      </w:r>
      <w:r w:rsidRPr="00825D69">
        <w:rPr>
          <w:rFonts w:ascii="Times New Roman" w:hAnsi="Times New Roman" w:cs="Times New Roman"/>
          <w:sz w:val="24"/>
          <w:szCs w:val="24"/>
          <w:lang w:val="ro-RO"/>
        </w:rPr>
        <w:t xml:space="preserve">trafic de persoane </w:t>
      </w:r>
      <w:r w:rsidR="003F5BEC">
        <w:rPr>
          <w:rFonts w:ascii="Times New Roman" w:hAnsi="Times New Roman" w:cs="Times New Roman"/>
          <w:sz w:val="24"/>
          <w:szCs w:val="24"/>
          <w:lang w:val="ro-RO"/>
        </w:rPr>
        <w:t>sau</w:t>
      </w:r>
      <w:r w:rsidR="00604E90">
        <w:rPr>
          <w:rFonts w:ascii="Times New Roman" w:hAnsi="Times New Roman" w:cs="Times New Roman"/>
          <w:sz w:val="24"/>
          <w:szCs w:val="24"/>
          <w:lang w:val="ro-RO"/>
        </w:rPr>
        <w:t xml:space="preserve"> de</w:t>
      </w:r>
      <w:r w:rsidR="003F5BEC">
        <w:rPr>
          <w:rFonts w:ascii="Times New Roman" w:hAnsi="Times New Roman" w:cs="Times New Roman"/>
          <w:sz w:val="24"/>
          <w:szCs w:val="24"/>
          <w:lang w:val="ro-RO"/>
        </w:rPr>
        <w:t xml:space="preserve"> </w:t>
      </w:r>
      <w:r w:rsidR="003F5BEC">
        <w:rPr>
          <w:rFonts w:ascii="Times New Roman" w:hAnsi="Times New Roman" w:cs="Times New Roman"/>
          <w:sz w:val="24"/>
          <w:szCs w:val="24"/>
          <w:lang w:val="ro-RO"/>
        </w:rPr>
        <w:lastRenderedPageBreak/>
        <w:t>contrabandă</w:t>
      </w:r>
      <w:r w:rsidRPr="00825D69">
        <w:rPr>
          <w:rFonts w:ascii="Times New Roman" w:hAnsi="Times New Roman" w:cs="Times New Roman"/>
          <w:sz w:val="24"/>
          <w:szCs w:val="24"/>
          <w:lang w:val="ro-RO"/>
        </w:rPr>
        <w:t xml:space="preserve"> – nu sunt efective. Nu există o strategie de combatere a criminalității informatice. Nu există o strategie de combatere a marii criminalități economico-financiare; nu există o definiție a marii criminalități economico-financiare. </w:t>
      </w:r>
      <w:r w:rsidR="003F5BEC">
        <w:rPr>
          <w:rFonts w:ascii="Times New Roman" w:hAnsi="Times New Roman" w:cs="Times New Roman"/>
          <w:sz w:val="24"/>
          <w:szCs w:val="24"/>
          <w:lang w:val="ro-RO"/>
        </w:rPr>
        <w:t>La 2 ani de la preluarea în întregime a infracțiunii de evaziun</w:t>
      </w:r>
      <w:r w:rsidR="00604E90">
        <w:rPr>
          <w:rFonts w:ascii="Times New Roman" w:hAnsi="Times New Roman" w:cs="Times New Roman"/>
          <w:sz w:val="24"/>
          <w:szCs w:val="24"/>
          <w:lang w:val="ro-RO"/>
        </w:rPr>
        <w:t>e</w:t>
      </w:r>
      <w:r w:rsidR="003F5BEC">
        <w:rPr>
          <w:rFonts w:ascii="Times New Roman" w:hAnsi="Times New Roman" w:cs="Times New Roman"/>
          <w:sz w:val="24"/>
          <w:szCs w:val="24"/>
          <w:lang w:val="ro-RO"/>
        </w:rPr>
        <w:t xml:space="preserve"> fiscal</w:t>
      </w:r>
      <w:r w:rsidR="00604E90">
        <w:rPr>
          <w:rFonts w:ascii="Times New Roman" w:hAnsi="Times New Roman" w:cs="Times New Roman"/>
          <w:sz w:val="24"/>
          <w:szCs w:val="24"/>
          <w:lang w:val="ro-RO"/>
        </w:rPr>
        <w:t>ă</w:t>
      </w:r>
      <w:r w:rsidR="003F5BEC">
        <w:rPr>
          <w:rFonts w:ascii="Times New Roman" w:hAnsi="Times New Roman" w:cs="Times New Roman"/>
          <w:sz w:val="24"/>
          <w:szCs w:val="24"/>
          <w:lang w:val="ro-RO"/>
        </w:rPr>
        <w:t xml:space="preserve"> la parchetele de pe lângă tribunale, lucrurile nu s-au rezolvat, chiar au involuat, </w:t>
      </w:r>
      <w:r w:rsidR="00BA212C">
        <w:rPr>
          <w:rFonts w:ascii="Times New Roman" w:hAnsi="Times New Roman" w:cs="Times New Roman"/>
          <w:sz w:val="24"/>
          <w:szCs w:val="24"/>
          <w:lang w:val="ro-RO"/>
        </w:rPr>
        <w:t xml:space="preserve">dosarele care în urmă cu doi ani se găseau în instrumentarea proprie a procurorului s-au pierdut printre zecile de mii de dosare aflate în supraveghere. </w:t>
      </w:r>
      <w:r w:rsidR="003F5BEC">
        <w:rPr>
          <w:rFonts w:ascii="Times New Roman" w:hAnsi="Times New Roman" w:cs="Times New Roman"/>
          <w:sz w:val="24"/>
          <w:szCs w:val="24"/>
          <w:lang w:val="ro-RO"/>
        </w:rPr>
        <w:t xml:space="preserve"> </w:t>
      </w:r>
      <w:r w:rsidRPr="00825D69">
        <w:rPr>
          <w:rFonts w:ascii="Times New Roman" w:hAnsi="Times New Roman" w:cs="Times New Roman"/>
          <w:sz w:val="24"/>
          <w:szCs w:val="24"/>
          <w:lang w:val="ro-RO"/>
        </w:rPr>
        <w:t>În toate aceste domenii ce reclamă o abordare strategică ar trebui realizată primordial o analiză națională de riscuri și amenințări, care ar trebui să fie produsul unui efort interinstituțional. Acesta este modelul european.</w:t>
      </w:r>
      <w:r w:rsidR="00BA212C">
        <w:rPr>
          <w:rFonts w:ascii="Times New Roman" w:hAnsi="Times New Roman" w:cs="Times New Roman"/>
          <w:sz w:val="24"/>
          <w:szCs w:val="24"/>
          <w:lang w:val="ro-RO"/>
        </w:rPr>
        <w:t xml:space="preserve"> Ministerul Public este doar unul dintre pionii luptei împotriva fenomenului infracțional. Fără informațiile, munca operativ</w:t>
      </w:r>
      <w:r w:rsidR="00604E90">
        <w:rPr>
          <w:rFonts w:ascii="Times New Roman" w:hAnsi="Times New Roman" w:cs="Times New Roman"/>
          <w:sz w:val="24"/>
          <w:szCs w:val="24"/>
          <w:lang w:val="ro-RO"/>
        </w:rPr>
        <w:t>ă</w:t>
      </w:r>
      <w:r w:rsidR="00BA212C">
        <w:rPr>
          <w:rFonts w:ascii="Times New Roman" w:hAnsi="Times New Roman" w:cs="Times New Roman"/>
          <w:sz w:val="24"/>
          <w:szCs w:val="24"/>
          <w:lang w:val="ro-RO"/>
        </w:rPr>
        <w:t xml:space="preserve"> a poliției, fără suportul de specialitate al specialiștilor,</w:t>
      </w:r>
      <w:r w:rsidR="00C413D4">
        <w:rPr>
          <w:rFonts w:ascii="Times New Roman" w:hAnsi="Times New Roman" w:cs="Times New Roman"/>
          <w:sz w:val="24"/>
          <w:szCs w:val="24"/>
          <w:lang w:val="ro-RO"/>
        </w:rPr>
        <w:t xml:space="preserve"> f</w:t>
      </w:r>
      <w:r w:rsidRPr="00825D69">
        <w:rPr>
          <w:rFonts w:ascii="Times New Roman" w:hAnsi="Times New Roman" w:cs="Times New Roman"/>
          <w:sz w:val="24"/>
          <w:szCs w:val="24"/>
          <w:lang w:val="ro-RO"/>
        </w:rPr>
        <w:t>ără capacitate reală si avansată de analiză operațională a informațiilor</w:t>
      </w:r>
      <w:r w:rsidR="00C413D4">
        <w:rPr>
          <w:rFonts w:ascii="Times New Roman" w:hAnsi="Times New Roman" w:cs="Times New Roman"/>
          <w:sz w:val="24"/>
          <w:szCs w:val="24"/>
          <w:lang w:val="ro-RO"/>
        </w:rPr>
        <w:t>,</w:t>
      </w:r>
      <w:r w:rsidRPr="00825D69">
        <w:rPr>
          <w:rFonts w:ascii="Times New Roman" w:hAnsi="Times New Roman" w:cs="Times New Roman"/>
          <w:sz w:val="24"/>
          <w:szCs w:val="24"/>
          <w:lang w:val="ro-RO"/>
        </w:rPr>
        <w:t xml:space="preserve"> va fi dificil s</w:t>
      </w:r>
      <w:r w:rsidR="00C413D4">
        <w:rPr>
          <w:rFonts w:ascii="Times New Roman" w:hAnsi="Times New Roman" w:cs="Times New Roman"/>
          <w:sz w:val="24"/>
          <w:szCs w:val="24"/>
          <w:lang w:val="ro-RO"/>
        </w:rPr>
        <w:t>ă</w:t>
      </w:r>
      <w:r w:rsidRPr="00825D69">
        <w:rPr>
          <w:rFonts w:ascii="Times New Roman" w:hAnsi="Times New Roman" w:cs="Times New Roman"/>
          <w:sz w:val="24"/>
          <w:szCs w:val="24"/>
          <w:lang w:val="ro-RO"/>
        </w:rPr>
        <w:t xml:space="preserve"> </w:t>
      </w:r>
      <w:r w:rsidR="00BA212C">
        <w:rPr>
          <w:rFonts w:ascii="Times New Roman" w:hAnsi="Times New Roman" w:cs="Times New Roman"/>
          <w:sz w:val="24"/>
          <w:szCs w:val="24"/>
          <w:lang w:val="ro-RO"/>
        </w:rPr>
        <w:t>combatem</w:t>
      </w:r>
      <w:r w:rsidRPr="00825D69">
        <w:rPr>
          <w:rFonts w:ascii="Times New Roman" w:hAnsi="Times New Roman" w:cs="Times New Roman"/>
          <w:sz w:val="24"/>
          <w:szCs w:val="24"/>
          <w:lang w:val="ro-RO"/>
        </w:rPr>
        <w:t>, numai prin capacitatea limitată de administrare a probelor,</w:t>
      </w:r>
      <w:r w:rsidR="00BA212C">
        <w:rPr>
          <w:rFonts w:ascii="Times New Roman" w:hAnsi="Times New Roman" w:cs="Times New Roman"/>
          <w:sz w:val="24"/>
          <w:szCs w:val="24"/>
          <w:lang w:val="ro-RO"/>
        </w:rPr>
        <w:t xml:space="preserve"> fenomenul infracțional, fie el organizat sau spontan. </w:t>
      </w:r>
      <w:r w:rsidRPr="00825D69">
        <w:rPr>
          <w:rFonts w:ascii="Times New Roman" w:hAnsi="Times New Roman" w:cs="Times New Roman"/>
          <w:sz w:val="24"/>
          <w:szCs w:val="24"/>
          <w:lang w:val="ro-RO"/>
        </w:rPr>
        <w:t xml:space="preserve"> Am exportat </w:t>
      </w:r>
      <w:r>
        <w:rPr>
          <w:rFonts w:ascii="Times New Roman" w:hAnsi="Times New Roman" w:cs="Times New Roman"/>
          <w:sz w:val="24"/>
          <w:szCs w:val="24"/>
          <w:lang w:val="ro-RO"/>
        </w:rPr>
        <w:t>m</w:t>
      </w:r>
      <w:r w:rsidR="00BA212C">
        <w:rPr>
          <w:rFonts w:ascii="Times New Roman" w:hAnsi="Times New Roman" w:cs="Times New Roman"/>
          <w:sz w:val="24"/>
          <w:szCs w:val="24"/>
          <w:lang w:val="ro-RO"/>
        </w:rPr>
        <w:t>a</w:t>
      </w:r>
      <w:r>
        <w:rPr>
          <w:rFonts w:ascii="Times New Roman" w:hAnsi="Times New Roman" w:cs="Times New Roman"/>
          <w:sz w:val="24"/>
          <w:szCs w:val="24"/>
          <w:lang w:val="ro-RO"/>
        </w:rPr>
        <w:t xml:space="preserve">siv, din primii ani după integrare, </w:t>
      </w:r>
      <w:r w:rsidRPr="00825D69">
        <w:rPr>
          <w:rFonts w:ascii="Times New Roman" w:hAnsi="Times New Roman" w:cs="Times New Roman"/>
          <w:sz w:val="24"/>
          <w:szCs w:val="24"/>
          <w:lang w:val="ro-RO"/>
        </w:rPr>
        <w:t>criminalitate in Europa de vest, dar nu analiz</w:t>
      </w:r>
      <w:r w:rsidR="00C413D4">
        <w:rPr>
          <w:rFonts w:ascii="Times New Roman" w:hAnsi="Times New Roman" w:cs="Times New Roman"/>
          <w:sz w:val="24"/>
          <w:szCs w:val="24"/>
          <w:lang w:val="ro-RO"/>
        </w:rPr>
        <w:t>ă</w:t>
      </w:r>
      <w:r w:rsidRPr="00825D69">
        <w:rPr>
          <w:rFonts w:ascii="Times New Roman" w:hAnsi="Times New Roman" w:cs="Times New Roman"/>
          <w:sz w:val="24"/>
          <w:szCs w:val="24"/>
          <w:lang w:val="ro-RO"/>
        </w:rPr>
        <w:t xml:space="preserve">m adevărata dimensiune </w:t>
      </w:r>
      <w:r w:rsidR="00C413D4">
        <w:rPr>
          <w:rFonts w:ascii="Times New Roman" w:hAnsi="Times New Roman" w:cs="Times New Roman"/>
          <w:sz w:val="24"/>
          <w:szCs w:val="24"/>
          <w:lang w:val="ro-RO"/>
        </w:rPr>
        <w:t>ș</w:t>
      </w:r>
      <w:r w:rsidRPr="00825D69">
        <w:rPr>
          <w:rFonts w:ascii="Times New Roman" w:hAnsi="Times New Roman" w:cs="Times New Roman"/>
          <w:sz w:val="24"/>
          <w:szCs w:val="24"/>
          <w:lang w:val="ro-RO"/>
        </w:rPr>
        <w:t>i acționăm asupra ei incidental, fără o strategie. Avem nevoie de mult mai mult</w:t>
      </w:r>
      <w:r w:rsidR="00C413D4">
        <w:rPr>
          <w:rFonts w:ascii="Times New Roman" w:hAnsi="Times New Roman" w:cs="Times New Roman"/>
          <w:sz w:val="24"/>
          <w:szCs w:val="24"/>
          <w:lang w:val="ro-RO"/>
        </w:rPr>
        <w:t>ă</w:t>
      </w:r>
      <w:r w:rsidRPr="00825D69">
        <w:rPr>
          <w:rFonts w:ascii="Times New Roman" w:hAnsi="Times New Roman" w:cs="Times New Roman"/>
          <w:sz w:val="24"/>
          <w:szCs w:val="24"/>
          <w:lang w:val="ro-RO"/>
        </w:rPr>
        <w:t xml:space="preserve"> coordonare </w:t>
      </w:r>
      <w:r w:rsidR="00C413D4">
        <w:rPr>
          <w:rFonts w:ascii="Times New Roman" w:hAnsi="Times New Roman" w:cs="Times New Roman"/>
          <w:sz w:val="24"/>
          <w:szCs w:val="24"/>
          <w:lang w:val="ro-RO"/>
        </w:rPr>
        <w:t>ș</w:t>
      </w:r>
      <w:r w:rsidRPr="00825D69">
        <w:rPr>
          <w:rFonts w:ascii="Times New Roman" w:hAnsi="Times New Roman" w:cs="Times New Roman"/>
          <w:sz w:val="24"/>
          <w:szCs w:val="24"/>
          <w:lang w:val="ro-RO"/>
        </w:rPr>
        <w:t>i cooperare la nivelul întregului sistem național de combatere a criminalității organizate.</w:t>
      </w:r>
    </w:p>
    <w:p w:rsidR="00BA212C" w:rsidRDefault="00825D69" w:rsidP="00825D69">
      <w:pPr>
        <w:spacing w:line="360" w:lineRule="auto"/>
        <w:ind w:firstLine="720"/>
        <w:jc w:val="both"/>
        <w:rPr>
          <w:rFonts w:ascii="Times New Roman" w:hAnsi="Times New Roman" w:cs="Times New Roman"/>
          <w:sz w:val="24"/>
          <w:szCs w:val="24"/>
          <w:lang w:val="ro-RO"/>
        </w:rPr>
      </w:pPr>
      <w:r w:rsidRPr="00825D69">
        <w:rPr>
          <w:rFonts w:ascii="Times New Roman" w:hAnsi="Times New Roman" w:cs="Times New Roman"/>
          <w:sz w:val="24"/>
          <w:szCs w:val="24"/>
          <w:lang w:val="ro-RO"/>
        </w:rPr>
        <w:t xml:space="preserve"> Atacurile aduse Ministerului Public </w:t>
      </w:r>
      <w:r w:rsidRPr="00C413D4">
        <w:rPr>
          <w:rFonts w:ascii="Times New Roman" w:hAnsi="Times New Roman" w:cs="Times New Roman"/>
          <w:i/>
          <w:sz w:val="24"/>
          <w:szCs w:val="24"/>
          <w:lang w:val="ro-RO"/>
        </w:rPr>
        <w:t>in corpore</w:t>
      </w:r>
      <w:r w:rsidRPr="00825D69">
        <w:rPr>
          <w:rFonts w:ascii="Times New Roman" w:hAnsi="Times New Roman" w:cs="Times New Roman"/>
          <w:sz w:val="24"/>
          <w:szCs w:val="24"/>
          <w:lang w:val="ro-RO"/>
        </w:rPr>
        <w:t xml:space="preserve"> sau unor direcții ori secții ale acestuia în general nu fac decât să șubrezească sistemul judiciar în ansamblul său și, astfel, să vulnerabilizeze statul român. Nevoia de fluență în limbile de circulație internațională, utilizarea curentă a platformelor electronice de schimb de date si informații, utilizarea resurselor de documentare prin accesarea bazelor de date interne şi internaționale, capacitatea de analiză operațională a comunicărilor pe platforme social-media, înțelegerea tiparelor de acțiune specifice ale grupărilor criminale şi dezvoltarea în consecință a unor planuri tactice corecte, adecvate de urmărire penală, folosirea în deplină legalitate şi cu respectarea scrupuloasă a drepturilor şi libertăților fundamentale </w:t>
      </w:r>
      <w:r w:rsidR="00C413D4">
        <w:rPr>
          <w:rFonts w:ascii="Times New Roman" w:hAnsi="Times New Roman" w:cs="Times New Roman"/>
          <w:sz w:val="24"/>
          <w:szCs w:val="24"/>
          <w:lang w:val="ro-RO"/>
        </w:rPr>
        <w:t>î</w:t>
      </w:r>
      <w:r w:rsidRPr="00825D69">
        <w:rPr>
          <w:rFonts w:ascii="Times New Roman" w:hAnsi="Times New Roman" w:cs="Times New Roman"/>
          <w:sz w:val="24"/>
          <w:szCs w:val="24"/>
          <w:lang w:val="ro-RO"/>
        </w:rPr>
        <w:t xml:space="preserve">n implementarea măsurilor de supraveghere tehnică şi tehnicilor speciale de investigație, toate acestea trebuie să reprezinte obiecte de studiu </w:t>
      </w:r>
      <w:r w:rsidR="00C413D4">
        <w:rPr>
          <w:rFonts w:ascii="Times New Roman" w:hAnsi="Times New Roman" w:cs="Times New Roman"/>
          <w:sz w:val="24"/>
          <w:szCs w:val="24"/>
          <w:lang w:val="ro-RO"/>
        </w:rPr>
        <w:t>ș</w:t>
      </w:r>
      <w:r w:rsidRPr="00825D69">
        <w:rPr>
          <w:rFonts w:ascii="Times New Roman" w:hAnsi="Times New Roman" w:cs="Times New Roman"/>
          <w:sz w:val="24"/>
          <w:szCs w:val="24"/>
          <w:lang w:val="ro-RO"/>
        </w:rPr>
        <w:t>i pregătire aprofundată, continuă a procurorilor</w:t>
      </w:r>
      <w:r w:rsidR="00BA212C">
        <w:rPr>
          <w:rFonts w:ascii="Times New Roman" w:hAnsi="Times New Roman" w:cs="Times New Roman"/>
          <w:sz w:val="24"/>
          <w:szCs w:val="24"/>
          <w:lang w:val="ro-RO"/>
        </w:rPr>
        <w:t xml:space="preserve"> și polițiștilor</w:t>
      </w:r>
      <w:r w:rsidRPr="00825D69">
        <w:rPr>
          <w:rFonts w:ascii="Times New Roman" w:hAnsi="Times New Roman" w:cs="Times New Roman"/>
          <w:sz w:val="24"/>
          <w:szCs w:val="24"/>
          <w:lang w:val="ro-RO"/>
        </w:rPr>
        <w:t xml:space="preserve">. Va trebui să trecem la un alt nivel conceptul de pregătire profesională continuă. </w:t>
      </w:r>
    </w:p>
    <w:p w:rsidR="00BA212C" w:rsidRDefault="00C413D4" w:rsidP="00825D69">
      <w:pPr>
        <w:spacing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825D69" w:rsidRPr="00825D69">
        <w:rPr>
          <w:rFonts w:ascii="Times New Roman" w:hAnsi="Times New Roman" w:cs="Times New Roman"/>
          <w:sz w:val="24"/>
          <w:szCs w:val="24"/>
          <w:lang w:val="ro-RO"/>
        </w:rPr>
        <w:t xml:space="preserve">n același sens, trebuie subliniat faptul ca incapacitatea de deposedare a infractorilor de produsul infracțional este de natură a crea un sentiment de injustiție socială. Actual, Europa în care suntem integrați privește cu mare atenție spre capacitatea de recuperare a produsului infracțiunii. </w:t>
      </w:r>
    </w:p>
    <w:p w:rsidR="00E44EE9" w:rsidRPr="00410873" w:rsidRDefault="00466DE0" w:rsidP="00825D69">
      <w:pPr>
        <w:spacing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Consider potrivit s</w:t>
      </w:r>
      <w:r w:rsidR="00C413D4">
        <w:rPr>
          <w:rFonts w:ascii="Times New Roman" w:hAnsi="Times New Roman" w:cs="Times New Roman"/>
          <w:sz w:val="24"/>
          <w:szCs w:val="24"/>
          <w:lang w:val="ro-RO"/>
        </w:rPr>
        <w:t>ă</w:t>
      </w:r>
      <w:r>
        <w:rPr>
          <w:rFonts w:ascii="Times New Roman" w:hAnsi="Times New Roman" w:cs="Times New Roman"/>
          <w:sz w:val="24"/>
          <w:szCs w:val="24"/>
          <w:lang w:val="ro-RO"/>
        </w:rPr>
        <w:t xml:space="preserve"> închei cu un</w:t>
      </w:r>
      <w:r w:rsidR="00BA212C">
        <w:rPr>
          <w:rFonts w:ascii="Times New Roman" w:hAnsi="Times New Roman" w:cs="Times New Roman"/>
          <w:sz w:val="24"/>
          <w:szCs w:val="24"/>
          <w:lang w:val="ro-RO"/>
        </w:rPr>
        <w:t xml:space="preserve"> text </w:t>
      </w:r>
      <w:r w:rsidR="00825D69" w:rsidRPr="00825D69">
        <w:rPr>
          <w:rFonts w:ascii="Times New Roman" w:hAnsi="Times New Roman" w:cs="Times New Roman"/>
          <w:sz w:val="24"/>
          <w:szCs w:val="24"/>
          <w:lang w:val="ro-RO"/>
        </w:rPr>
        <w:t>dintr-un document-ch</w:t>
      </w:r>
      <w:r w:rsidR="00BA212C">
        <w:rPr>
          <w:rFonts w:ascii="Times New Roman" w:hAnsi="Times New Roman" w:cs="Times New Roman"/>
          <w:sz w:val="24"/>
          <w:szCs w:val="24"/>
          <w:lang w:val="ro-RO"/>
        </w:rPr>
        <w:t>eie al Comisiei de la Veneția</w:t>
      </w:r>
      <w:r w:rsidR="00C413D4">
        <w:rPr>
          <w:rFonts w:ascii="Times New Roman" w:hAnsi="Times New Roman" w:cs="Times New Roman"/>
          <w:sz w:val="24"/>
          <w:szCs w:val="24"/>
          <w:lang w:val="ro-RO"/>
        </w:rPr>
        <w:t>,</w:t>
      </w:r>
      <w:r w:rsidR="00825D69" w:rsidRPr="00825D69">
        <w:rPr>
          <w:rFonts w:ascii="Times New Roman" w:hAnsi="Times New Roman" w:cs="Times New Roman"/>
          <w:sz w:val="24"/>
          <w:szCs w:val="24"/>
          <w:lang w:val="ro-RO"/>
        </w:rPr>
        <w:t xml:space="preserve"> care ilustrează în esență marile provocări ale societății în a găsi răspunsul adecvat la necesara organizare a puterii de a efectua urmărirea penală: "Interferența politică în cadrul urmăririi penale este, probabil, la fel de veche ca şi societatea în sine. În societățile timpurii, într-adevăr, puterea de urmărire penală a fost, de obicei, în întregime în controlul regilor</w:t>
      </w:r>
      <w:r w:rsidR="00C413D4">
        <w:rPr>
          <w:rFonts w:ascii="Times New Roman" w:hAnsi="Times New Roman" w:cs="Times New Roman"/>
          <w:sz w:val="24"/>
          <w:szCs w:val="24"/>
          <w:lang w:val="ro-RO"/>
        </w:rPr>
        <w:t>,</w:t>
      </w:r>
      <w:r w:rsidR="00825D69" w:rsidRPr="00825D69">
        <w:rPr>
          <w:rFonts w:ascii="Times New Roman" w:hAnsi="Times New Roman" w:cs="Times New Roman"/>
          <w:sz w:val="24"/>
          <w:szCs w:val="24"/>
          <w:lang w:val="ro-RO"/>
        </w:rPr>
        <w:t xml:space="preserve"> care puteau să o folosească pentru a-și pedepsi dușmanii şi pentru a-i recompensa pe prietenii lor. Istoria oferă multe exemple ale folosirii urmăririi penale în scopuri necorespunzătoare sau politice. Nu trebuie să te uiți mai departe de dinastia Tudor din Anglia sau de Franța, atât înainte, cât și în timpul Revoluției, precum și in sistemului sovietic din Europa de Est. Europa modernă occidentală pare să fi evitat în mare măsură problema urmăririi penale abuzive în ultima vreme, dar aceasta se datorează în mare măsură mecanismelor adoptate pentru a se asigura c</w:t>
      </w:r>
      <w:r w:rsidR="00C413D4">
        <w:rPr>
          <w:rFonts w:ascii="Times New Roman" w:hAnsi="Times New Roman" w:cs="Times New Roman"/>
          <w:sz w:val="24"/>
          <w:szCs w:val="24"/>
          <w:lang w:val="ro-RO"/>
        </w:rPr>
        <w:t>ă</w:t>
      </w:r>
      <w:r w:rsidR="00825D69" w:rsidRPr="00825D69">
        <w:rPr>
          <w:rFonts w:ascii="Times New Roman" w:hAnsi="Times New Roman" w:cs="Times New Roman"/>
          <w:sz w:val="24"/>
          <w:szCs w:val="24"/>
          <w:lang w:val="ro-RO"/>
        </w:rPr>
        <w:t xml:space="preserve"> nu se exercit</w:t>
      </w:r>
      <w:r w:rsidR="00C413D4">
        <w:rPr>
          <w:rFonts w:ascii="Times New Roman" w:hAnsi="Times New Roman" w:cs="Times New Roman"/>
          <w:sz w:val="24"/>
          <w:szCs w:val="24"/>
          <w:lang w:val="ro-RO"/>
        </w:rPr>
        <w:t>ă</w:t>
      </w:r>
      <w:r w:rsidR="00825D69" w:rsidRPr="00825D69">
        <w:rPr>
          <w:rFonts w:ascii="Times New Roman" w:hAnsi="Times New Roman" w:cs="Times New Roman"/>
          <w:sz w:val="24"/>
          <w:szCs w:val="24"/>
          <w:lang w:val="ro-RO"/>
        </w:rPr>
        <w:t xml:space="preserve"> o presiune politică improprie asupra urmăririi penale. </w:t>
      </w:r>
      <w:r w:rsidR="00C413D4">
        <w:rPr>
          <w:rFonts w:ascii="Times New Roman" w:hAnsi="Times New Roman" w:cs="Times New Roman"/>
          <w:sz w:val="24"/>
          <w:szCs w:val="24"/>
          <w:lang w:val="ro-RO"/>
        </w:rPr>
        <w:t>Î</w:t>
      </w:r>
      <w:r w:rsidR="00825D69" w:rsidRPr="00825D69">
        <w:rPr>
          <w:rFonts w:ascii="Times New Roman" w:hAnsi="Times New Roman" w:cs="Times New Roman"/>
          <w:sz w:val="24"/>
          <w:szCs w:val="24"/>
          <w:lang w:val="ro-RO"/>
        </w:rPr>
        <w:t>n statele totalitare sau în dictaturile moderne, urmărirea penală a fost și continuă să fie folosit</w:t>
      </w:r>
      <w:r w:rsidR="00C413D4">
        <w:rPr>
          <w:rFonts w:ascii="Times New Roman" w:hAnsi="Times New Roman" w:cs="Times New Roman"/>
          <w:sz w:val="24"/>
          <w:szCs w:val="24"/>
          <w:lang w:val="ro-RO"/>
        </w:rPr>
        <w:t>ă</w:t>
      </w:r>
      <w:r w:rsidR="00825D69" w:rsidRPr="00825D69">
        <w:rPr>
          <w:rFonts w:ascii="Times New Roman" w:hAnsi="Times New Roman" w:cs="Times New Roman"/>
          <w:sz w:val="24"/>
          <w:szCs w:val="24"/>
          <w:lang w:val="ro-RO"/>
        </w:rPr>
        <w:t xml:space="preserve"> ca instrument de represiune și corupție. Existen</w:t>
      </w:r>
      <w:r w:rsidR="00C413D4">
        <w:rPr>
          <w:rFonts w:ascii="Times New Roman" w:hAnsi="Times New Roman" w:cs="Times New Roman"/>
          <w:sz w:val="24"/>
          <w:szCs w:val="24"/>
          <w:lang w:val="ro-RO"/>
        </w:rPr>
        <w:t>ț</w:t>
      </w:r>
      <w:r w:rsidR="00825D69" w:rsidRPr="00825D69">
        <w:rPr>
          <w:rFonts w:ascii="Times New Roman" w:hAnsi="Times New Roman" w:cs="Times New Roman"/>
          <w:sz w:val="24"/>
          <w:szCs w:val="24"/>
          <w:lang w:val="ro-RO"/>
        </w:rPr>
        <w:t>a controlului democratic nu oferă un răspuns complet la problema influenței politice asupra urmăririi penale. Tirania majorității poate extinde folosirea urmăririi penale ca instrument de opresiune. Majoritatea poate fi supus</w:t>
      </w:r>
      <w:r w:rsidR="00C413D4">
        <w:rPr>
          <w:rFonts w:ascii="Times New Roman" w:hAnsi="Times New Roman" w:cs="Times New Roman"/>
          <w:sz w:val="24"/>
          <w:szCs w:val="24"/>
          <w:lang w:val="ro-RO"/>
        </w:rPr>
        <w:t xml:space="preserve">ă </w:t>
      </w:r>
      <w:r w:rsidR="00825D69" w:rsidRPr="00825D69">
        <w:rPr>
          <w:rFonts w:ascii="Times New Roman" w:hAnsi="Times New Roman" w:cs="Times New Roman"/>
          <w:sz w:val="24"/>
          <w:szCs w:val="24"/>
          <w:lang w:val="ro-RO"/>
        </w:rPr>
        <w:t>manipulării și pot exista politicieni democrați sub presiunile populiste cărora se tem să le reziste, mai ales când acestea sunt susținute de campanii în mass-media"</w:t>
      </w:r>
      <w:r w:rsidR="00C413D4">
        <w:rPr>
          <w:rFonts w:ascii="Times New Roman" w:hAnsi="Times New Roman" w:cs="Times New Roman"/>
          <w:sz w:val="24"/>
          <w:szCs w:val="24"/>
          <w:lang w:val="ro-RO"/>
        </w:rPr>
        <w:t>.</w:t>
      </w:r>
    </w:p>
    <w:p w:rsidR="00410873" w:rsidRPr="00410873" w:rsidRDefault="00410873" w:rsidP="00410873">
      <w:pPr>
        <w:rPr>
          <w:rFonts w:ascii="Times New Roman" w:hAnsi="Times New Roman" w:cs="Times New Roman"/>
          <w:sz w:val="24"/>
          <w:szCs w:val="24"/>
          <w:lang w:val="ro-RO"/>
        </w:rPr>
      </w:pPr>
    </w:p>
    <w:p w:rsidR="00410873" w:rsidRDefault="00410873" w:rsidP="00410873">
      <w:pPr>
        <w:rPr>
          <w:rFonts w:ascii="Times New Roman" w:hAnsi="Times New Roman" w:cs="Times New Roman"/>
          <w:sz w:val="24"/>
          <w:szCs w:val="24"/>
          <w:lang w:val="ro-RO"/>
        </w:rPr>
      </w:pPr>
    </w:p>
    <w:p w:rsidR="00B83393" w:rsidRDefault="00B83393" w:rsidP="00410873">
      <w:pPr>
        <w:rPr>
          <w:rFonts w:ascii="Times New Roman" w:hAnsi="Times New Roman" w:cs="Times New Roman"/>
          <w:sz w:val="24"/>
          <w:szCs w:val="24"/>
          <w:lang w:val="ro-RO"/>
        </w:rPr>
      </w:pPr>
    </w:p>
    <w:p w:rsidR="00B83393" w:rsidRDefault="00B83393" w:rsidP="00410873">
      <w:pPr>
        <w:rPr>
          <w:rFonts w:ascii="Times New Roman" w:hAnsi="Times New Roman" w:cs="Times New Roman"/>
          <w:sz w:val="24"/>
          <w:szCs w:val="24"/>
          <w:lang w:val="ro-RO"/>
        </w:rPr>
      </w:pPr>
    </w:p>
    <w:p w:rsidR="00B83393" w:rsidRDefault="00B83393" w:rsidP="00410873">
      <w:pPr>
        <w:rPr>
          <w:rFonts w:ascii="Times New Roman" w:hAnsi="Times New Roman" w:cs="Times New Roman"/>
          <w:sz w:val="24"/>
          <w:szCs w:val="24"/>
          <w:lang w:val="ro-RO"/>
        </w:rPr>
      </w:pPr>
    </w:p>
    <w:p w:rsidR="00B83393" w:rsidRPr="00410873" w:rsidRDefault="00B83393" w:rsidP="00410873">
      <w:pPr>
        <w:rPr>
          <w:rFonts w:ascii="Times New Roman" w:hAnsi="Times New Roman" w:cs="Times New Roman"/>
          <w:sz w:val="24"/>
          <w:szCs w:val="24"/>
          <w:lang w:val="ro-RO"/>
        </w:rPr>
      </w:pPr>
    </w:p>
    <w:p w:rsidR="00410873" w:rsidRDefault="00410873" w:rsidP="00410873">
      <w:pPr>
        <w:rPr>
          <w:rFonts w:ascii="Times New Roman" w:hAnsi="Times New Roman" w:cs="Times New Roman"/>
          <w:sz w:val="24"/>
          <w:szCs w:val="24"/>
          <w:lang w:val="ro-RO"/>
        </w:rPr>
      </w:pPr>
    </w:p>
    <w:p w:rsidR="00C413D4" w:rsidRDefault="00C413D4" w:rsidP="00410873">
      <w:pPr>
        <w:ind w:firstLine="720"/>
        <w:rPr>
          <w:rFonts w:ascii="Times New Roman" w:hAnsi="Times New Roman" w:cs="Times New Roman"/>
          <w:sz w:val="24"/>
          <w:szCs w:val="24"/>
          <w:lang w:val="ro-RO"/>
        </w:rPr>
      </w:pPr>
      <w:r>
        <w:rPr>
          <w:rFonts w:ascii="Times New Roman" w:hAnsi="Times New Roman" w:cs="Times New Roman"/>
          <w:sz w:val="24"/>
          <w:szCs w:val="24"/>
          <w:lang w:val="ro-RO"/>
        </w:rPr>
        <w:br w:type="page"/>
      </w:r>
    </w:p>
    <w:p w:rsidR="004D29D5" w:rsidRPr="00A70C96" w:rsidRDefault="009778A5" w:rsidP="00410873">
      <w:pPr>
        <w:ind w:firstLine="720"/>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ab/>
      </w:r>
      <w:r w:rsidR="00410873" w:rsidRPr="00A70C96">
        <w:rPr>
          <w:rFonts w:ascii="Times New Roman" w:hAnsi="Times New Roman" w:cs="Times New Roman"/>
          <w:b/>
          <w:sz w:val="24"/>
          <w:szCs w:val="24"/>
          <w:lang w:val="ro-RO"/>
        </w:rPr>
        <w:t>Bibliografie:</w:t>
      </w:r>
    </w:p>
    <w:p w:rsidR="00410873" w:rsidRDefault="00410873" w:rsidP="009778A5">
      <w:pPr>
        <w:spacing w:line="360" w:lineRule="auto"/>
        <w:ind w:firstLine="720"/>
        <w:rPr>
          <w:rFonts w:ascii="Times New Roman" w:hAnsi="Times New Roman" w:cs="Times New Roman"/>
          <w:sz w:val="24"/>
          <w:szCs w:val="24"/>
          <w:lang w:val="ro-RO"/>
        </w:rPr>
      </w:pPr>
      <w:r>
        <w:rPr>
          <w:rFonts w:ascii="Times New Roman" w:hAnsi="Times New Roman" w:cs="Times New Roman"/>
          <w:sz w:val="24"/>
          <w:szCs w:val="24"/>
          <w:lang w:val="ro-RO"/>
        </w:rPr>
        <w:t>Legea 303/2004, modificată și republicată</w:t>
      </w:r>
    </w:p>
    <w:p w:rsidR="00410873" w:rsidRDefault="00410873" w:rsidP="009778A5">
      <w:pPr>
        <w:spacing w:line="360" w:lineRule="auto"/>
        <w:ind w:firstLine="720"/>
        <w:rPr>
          <w:rFonts w:ascii="Times New Roman" w:hAnsi="Times New Roman" w:cs="Times New Roman"/>
          <w:sz w:val="24"/>
          <w:szCs w:val="24"/>
          <w:lang w:val="ro-RO"/>
        </w:rPr>
      </w:pPr>
      <w:r>
        <w:rPr>
          <w:rFonts w:ascii="Times New Roman" w:hAnsi="Times New Roman" w:cs="Times New Roman"/>
          <w:sz w:val="24"/>
          <w:szCs w:val="24"/>
          <w:lang w:val="ro-RO"/>
        </w:rPr>
        <w:t>Legea 304/2004</w:t>
      </w:r>
      <w:r w:rsidRPr="00410873">
        <w:rPr>
          <w:rFonts w:ascii="Times New Roman" w:hAnsi="Times New Roman" w:cs="Times New Roman"/>
          <w:sz w:val="24"/>
          <w:szCs w:val="24"/>
          <w:lang w:val="ro-RO"/>
        </w:rPr>
        <w:t xml:space="preserve"> </w:t>
      </w:r>
      <w:r>
        <w:rPr>
          <w:rFonts w:ascii="Times New Roman" w:hAnsi="Times New Roman" w:cs="Times New Roman"/>
          <w:sz w:val="24"/>
          <w:szCs w:val="24"/>
          <w:lang w:val="ro-RO"/>
        </w:rPr>
        <w:t>modificată și republicată</w:t>
      </w:r>
    </w:p>
    <w:p w:rsidR="00410873" w:rsidRDefault="00410873" w:rsidP="009778A5">
      <w:pPr>
        <w:spacing w:line="360" w:lineRule="auto"/>
        <w:ind w:firstLine="720"/>
        <w:rPr>
          <w:rFonts w:ascii="Times New Roman" w:hAnsi="Times New Roman" w:cs="Times New Roman"/>
          <w:sz w:val="24"/>
          <w:szCs w:val="24"/>
          <w:lang w:val="ro-RO"/>
        </w:rPr>
      </w:pPr>
      <w:r>
        <w:rPr>
          <w:rFonts w:ascii="Times New Roman" w:hAnsi="Times New Roman" w:cs="Times New Roman"/>
          <w:sz w:val="24"/>
          <w:szCs w:val="24"/>
          <w:lang w:val="ro-RO"/>
        </w:rPr>
        <w:t>Regulamentul de ordine interioară al parchetelor</w:t>
      </w:r>
    </w:p>
    <w:p w:rsidR="00410873" w:rsidRDefault="00410873" w:rsidP="009778A5">
      <w:pPr>
        <w:spacing w:line="360" w:lineRule="auto"/>
        <w:ind w:firstLine="720"/>
        <w:rPr>
          <w:rFonts w:ascii="Times New Roman" w:hAnsi="Times New Roman" w:cs="Times New Roman"/>
          <w:sz w:val="24"/>
          <w:szCs w:val="24"/>
          <w:lang w:val="ro-RO"/>
        </w:rPr>
      </w:pPr>
      <w:r>
        <w:rPr>
          <w:rFonts w:ascii="Times New Roman" w:hAnsi="Times New Roman" w:cs="Times New Roman"/>
          <w:sz w:val="24"/>
          <w:szCs w:val="24"/>
          <w:lang w:val="ro-RO"/>
        </w:rPr>
        <w:t>Raportul de activitate al Ministerului Public pentru anul 2018</w:t>
      </w:r>
    </w:p>
    <w:p w:rsidR="004F7D40" w:rsidRDefault="004F7D40" w:rsidP="009778A5">
      <w:pPr>
        <w:spacing w:line="360" w:lineRule="auto"/>
        <w:ind w:firstLine="720"/>
        <w:rPr>
          <w:rFonts w:ascii="Times New Roman" w:hAnsi="Times New Roman" w:cs="Times New Roman"/>
          <w:sz w:val="24"/>
          <w:szCs w:val="24"/>
          <w:lang w:val="ro-RO"/>
        </w:rPr>
      </w:pPr>
      <w:r>
        <w:rPr>
          <w:rFonts w:ascii="Times New Roman" w:hAnsi="Times New Roman" w:cs="Times New Roman"/>
          <w:sz w:val="24"/>
          <w:szCs w:val="24"/>
          <w:lang w:val="ro-RO"/>
        </w:rPr>
        <w:t>Discursul procurorului-șef al DIICOT consecutiv Raportului de activitate pe anul 2017</w:t>
      </w:r>
    </w:p>
    <w:p w:rsidR="00410873" w:rsidRDefault="00410873" w:rsidP="009778A5">
      <w:pPr>
        <w:spacing w:line="360" w:lineRule="auto"/>
        <w:ind w:firstLine="720"/>
        <w:rPr>
          <w:rFonts w:ascii="Times New Roman" w:hAnsi="Times New Roman" w:cs="Times New Roman"/>
          <w:sz w:val="24"/>
          <w:szCs w:val="24"/>
          <w:lang w:val="ro-RO"/>
        </w:rPr>
      </w:pPr>
      <w:r>
        <w:rPr>
          <w:rFonts w:ascii="Times New Roman" w:hAnsi="Times New Roman" w:cs="Times New Roman"/>
          <w:sz w:val="24"/>
          <w:szCs w:val="24"/>
          <w:lang w:val="ro-RO"/>
        </w:rPr>
        <w:t>Rapoartele Comisiei Europene către Parlamentul European și Consiliul Uniunii</w:t>
      </w:r>
    </w:p>
    <w:p w:rsidR="00410873" w:rsidRDefault="00410873" w:rsidP="009778A5">
      <w:pPr>
        <w:spacing w:line="360" w:lineRule="auto"/>
        <w:ind w:firstLine="720"/>
        <w:rPr>
          <w:rFonts w:ascii="Times New Roman" w:hAnsi="Times New Roman" w:cs="Times New Roman"/>
          <w:sz w:val="24"/>
          <w:szCs w:val="24"/>
          <w:lang w:val="ro-RO"/>
        </w:rPr>
      </w:pPr>
      <w:r w:rsidRPr="00A70C96">
        <w:rPr>
          <w:rFonts w:ascii="Times New Roman" w:hAnsi="Times New Roman" w:cs="Times New Roman"/>
          <w:sz w:val="24"/>
          <w:szCs w:val="24"/>
          <w:lang w:val="ro-RO"/>
        </w:rPr>
        <w:t>https://ec.europa.eu/info/sites/info/files/com-2017-44_ro_1.pdf</w:t>
      </w:r>
    </w:p>
    <w:p w:rsidR="00410873" w:rsidRDefault="00B83393" w:rsidP="009778A5">
      <w:pPr>
        <w:spacing w:line="360" w:lineRule="auto"/>
        <w:ind w:firstLine="720"/>
        <w:rPr>
          <w:rFonts w:ascii="Times New Roman" w:hAnsi="Times New Roman" w:cs="Times New Roman"/>
          <w:sz w:val="24"/>
          <w:szCs w:val="24"/>
          <w:lang w:val="ro-RO"/>
        </w:rPr>
      </w:pPr>
      <w:r w:rsidRPr="00A70C96">
        <w:rPr>
          <w:rFonts w:ascii="Times New Roman" w:hAnsi="Times New Roman" w:cs="Times New Roman"/>
          <w:sz w:val="24"/>
          <w:szCs w:val="24"/>
          <w:lang w:val="ro-RO"/>
        </w:rPr>
        <w:t>https://ec.europa.eu/transparency/regdoc/rep/1/2015/RO/1-2015-35-RO-F1-1.PDF</w:t>
      </w:r>
    </w:p>
    <w:p w:rsidR="00B83393" w:rsidRPr="00B83393" w:rsidRDefault="00B83393" w:rsidP="009778A5">
      <w:pPr>
        <w:tabs>
          <w:tab w:val="center" w:pos="4536"/>
          <w:tab w:val="right" w:pos="9072"/>
        </w:tabs>
        <w:spacing w:before="120" w:after="120" w:line="360" w:lineRule="auto"/>
        <w:ind w:left="-54"/>
        <w:rPr>
          <w:rFonts w:ascii="Times New Roman" w:hAnsi="Times New Roman" w:cs="Times New Roman"/>
          <w:noProof/>
          <w:sz w:val="24"/>
          <w:szCs w:val="24"/>
        </w:rPr>
      </w:pPr>
      <w:r>
        <w:rPr>
          <w:rStyle w:val="Hyperlink"/>
          <w:rFonts w:ascii="Times New Roman" w:hAnsi="Times New Roman" w:cs="Times New Roman"/>
          <w:noProof/>
          <w:color w:val="auto"/>
          <w:sz w:val="24"/>
          <w:szCs w:val="24"/>
          <w:u w:val="none"/>
        </w:rPr>
        <w:t xml:space="preserve">             </w:t>
      </w:r>
      <w:r w:rsidRPr="00B83393">
        <w:rPr>
          <w:rStyle w:val="Hyperlink"/>
          <w:rFonts w:ascii="Times New Roman" w:hAnsi="Times New Roman" w:cs="Times New Roman"/>
          <w:noProof/>
          <w:color w:val="auto"/>
          <w:sz w:val="24"/>
          <w:szCs w:val="24"/>
          <w:u w:val="none"/>
        </w:rPr>
        <w:t>Strategia pentru dezvoltarea sistemului judiciar 2015 – 2020</w:t>
      </w:r>
    </w:p>
    <w:p w:rsidR="00B83393" w:rsidRPr="00B83393" w:rsidRDefault="00B83393" w:rsidP="009778A5">
      <w:pPr>
        <w:tabs>
          <w:tab w:val="center" w:pos="4536"/>
          <w:tab w:val="right" w:pos="9072"/>
        </w:tabs>
        <w:spacing w:before="120" w:after="120" w:line="360" w:lineRule="auto"/>
        <w:ind w:left="-54"/>
        <w:rPr>
          <w:rStyle w:val="Hyperlink"/>
          <w:rFonts w:ascii="Times New Roman" w:hAnsi="Times New Roman" w:cs="Times New Roman"/>
          <w:noProof/>
          <w:color w:val="auto"/>
          <w:sz w:val="24"/>
          <w:szCs w:val="24"/>
          <w:u w:val="none"/>
        </w:rPr>
      </w:pPr>
      <w:r>
        <w:rPr>
          <w:rStyle w:val="Hyperlink"/>
          <w:noProof/>
          <w:color w:val="auto"/>
          <w:szCs w:val="20"/>
          <w:u w:val="none"/>
        </w:rPr>
        <w:t xml:space="preserve">                </w:t>
      </w:r>
      <w:r w:rsidRPr="00B83393">
        <w:rPr>
          <w:rStyle w:val="Hyperlink"/>
          <w:rFonts w:ascii="Times New Roman" w:hAnsi="Times New Roman" w:cs="Times New Roman"/>
          <w:noProof/>
          <w:color w:val="auto"/>
          <w:sz w:val="24"/>
          <w:szCs w:val="24"/>
          <w:u w:val="none"/>
        </w:rPr>
        <w:t>Planul de acţiune pentru implementare strategiei 2015 – 2020</w:t>
      </w:r>
    </w:p>
    <w:sectPr w:rsidR="00B83393" w:rsidRPr="00B83393" w:rsidSect="009778A5">
      <w:footerReference w:type="default" r:id="rId9"/>
      <w:pgSz w:w="11906" w:h="16838" w:code="9"/>
      <w:pgMar w:top="1440" w:right="1134" w:bottom="1134" w:left="1440" w:header="720"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3DC" w:rsidRDefault="000563DC" w:rsidP="008C2D1A">
      <w:pPr>
        <w:spacing w:after="0" w:line="240" w:lineRule="auto"/>
      </w:pPr>
      <w:r>
        <w:separator/>
      </w:r>
    </w:p>
  </w:endnote>
  <w:endnote w:type="continuationSeparator" w:id="0">
    <w:p w:rsidR="000563DC" w:rsidRDefault="000563DC" w:rsidP="008C2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93908"/>
      <w:docPartObj>
        <w:docPartGallery w:val="Page Numbers (Bottom of Page)"/>
        <w:docPartUnique/>
      </w:docPartObj>
    </w:sdtPr>
    <w:sdtEndPr/>
    <w:sdtContent>
      <w:p w:rsidR="009778A5" w:rsidRDefault="009778A5">
        <w:pPr>
          <w:pStyle w:val="Footer"/>
          <w:jc w:val="center"/>
        </w:pPr>
        <w:r>
          <w:fldChar w:fldCharType="begin"/>
        </w:r>
        <w:r>
          <w:instrText>PAGE   \* MERGEFORMAT</w:instrText>
        </w:r>
        <w:r>
          <w:fldChar w:fldCharType="separate"/>
        </w:r>
        <w:r w:rsidR="004B421A" w:rsidRPr="004B421A">
          <w:rPr>
            <w:noProof/>
            <w:lang w:val="ro-RO"/>
          </w:rPr>
          <w:t>31</w:t>
        </w:r>
        <w:r>
          <w:fldChar w:fldCharType="end"/>
        </w:r>
      </w:p>
    </w:sdtContent>
  </w:sdt>
  <w:p w:rsidR="00D57D44" w:rsidRDefault="00D57D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3DC" w:rsidRDefault="000563DC" w:rsidP="008C2D1A">
      <w:pPr>
        <w:spacing w:after="0" w:line="240" w:lineRule="auto"/>
      </w:pPr>
      <w:r>
        <w:separator/>
      </w:r>
    </w:p>
  </w:footnote>
  <w:footnote w:type="continuationSeparator" w:id="0">
    <w:p w:rsidR="000563DC" w:rsidRDefault="000563DC" w:rsidP="008C2D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0C97"/>
    <w:multiLevelType w:val="hybridMultilevel"/>
    <w:tmpl w:val="EAA43A52"/>
    <w:lvl w:ilvl="0" w:tplc="EC7E2C82">
      <w:start w:val="5"/>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D42046"/>
    <w:multiLevelType w:val="hybridMultilevel"/>
    <w:tmpl w:val="4072AEA2"/>
    <w:lvl w:ilvl="0" w:tplc="F072FD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4952024"/>
    <w:multiLevelType w:val="hybridMultilevel"/>
    <w:tmpl w:val="341EE998"/>
    <w:lvl w:ilvl="0" w:tplc="B3AA0B5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7367E18"/>
    <w:multiLevelType w:val="hybridMultilevel"/>
    <w:tmpl w:val="829C1660"/>
    <w:lvl w:ilvl="0" w:tplc="04180011">
      <w:start w:val="1"/>
      <w:numFmt w:val="decimal"/>
      <w:lvlText w:val="%1)"/>
      <w:lvlJc w:val="left"/>
      <w:pPr>
        <w:ind w:left="2160" w:hanging="36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4" w15:restartNumberingAfterBreak="0">
    <w:nsid w:val="283071F0"/>
    <w:multiLevelType w:val="hybridMultilevel"/>
    <w:tmpl w:val="EFA66730"/>
    <w:lvl w:ilvl="0" w:tplc="CC3CB98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305A258B"/>
    <w:multiLevelType w:val="hybridMultilevel"/>
    <w:tmpl w:val="45A6445A"/>
    <w:lvl w:ilvl="0" w:tplc="04180011">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6" w15:restartNumberingAfterBreak="0">
    <w:nsid w:val="33EC1CC2"/>
    <w:multiLevelType w:val="hybridMultilevel"/>
    <w:tmpl w:val="8B248D82"/>
    <w:lvl w:ilvl="0" w:tplc="04180011">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7" w15:restartNumberingAfterBreak="0">
    <w:nsid w:val="3ED661AA"/>
    <w:multiLevelType w:val="hybridMultilevel"/>
    <w:tmpl w:val="C38EA0B6"/>
    <w:lvl w:ilvl="0" w:tplc="0FE2D750">
      <w:start w:val="5"/>
      <w:numFmt w:val="bullet"/>
      <w:lvlText w:val="-"/>
      <w:lvlJc w:val="left"/>
      <w:pPr>
        <w:ind w:left="2250" w:hanging="360"/>
      </w:pPr>
      <w:rPr>
        <w:rFonts w:ascii="Times New Roman" w:eastAsiaTheme="minorHAnsi"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15:restartNumberingAfterBreak="0">
    <w:nsid w:val="410B0567"/>
    <w:multiLevelType w:val="hybridMultilevel"/>
    <w:tmpl w:val="F9ACF64C"/>
    <w:lvl w:ilvl="0" w:tplc="FED6144C">
      <w:start w:val="3"/>
      <w:numFmt w:val="bullet"/>
      <w:lvlText w:val="-"/>
      <w:lvlJc w:val="left"/>
      <w:pPr>
        <w:ind w:left="4260" w:hanging="360"/>
      </w:pPr>
      <w:rPr>
        <w:rFonts w:ascii="Times New Roman" w:eastAsiaTheme="minorHAnsi" w:hAnsi="Times New Roman" w:cs="Times New Roman" w:hint="default"/>
      </w:rPr>
    </w:lvl>
    <w:lvl w:ilvl="1" w:tplc="04090003" w:tentative="1">
      <w:start w:val="1"/>
      <w:numFmt w:val="bullet"/>
      <w:lvlText w:val="o"/>
      <w:lvlJc w:val="left"/>
      <w:pPr>
        <w:ind w:left="4980" w:hanging="360"/>
      </w:pPr>
      <w:rPr>
        <w:rFonts w:ascii="Courier New" w:hAnsi="Courier New" w:cs="Courier New" w:hint="default"/>
      </w:rPr>
    </w:lvl>
    <w:lvl w:ilvl="2" w:tplc="04090005" w:tentative="1">
      <w:start w:val="1"/>
      <w:numFmt w:val="bullet"/>
      <w:lvlText w:val=""/>
      <w:lvlJc w:val="left"/>
      <w:pPr>
        <w:ind w:left="5700" w:hanging="360"/>
      </w:pPr>
      <w:rPr>
        <w:rFonts w:ascii="Wingdings" w:hAnsi="Wingdings" w:hint="default"/>
      </w:rPr>
    </w:lvl>
    <w:lvl w:ilvl="3" w:tplc="04090001" w:tentative="1">
      <w:start w:val="1"/>
      <w:numFmt w:val="bullet"/>
      <w:lvlText w:val=""/>
      <w:lvlJc w:val="left"/>
      <w:pPr>
        <w:ind w:left="6420" w:hanging="360"/>
      </w:pPr>
      <w:rPr>
        <w:rFonts w:ascii="Symbol" w:hAnsi="Symbol" w:hint="default"/>
      </w:rPr>
    </w:lvl>
    <w:lvl w:ilvl="4" w:tplc="04090003" w:tentative="1">
      <w:start w:val="1"/>
      <w:numFmt w:val="bullet"/>
      <w:lvlText w:val="o"/>
      <w:lvlJc w:val="left"/>
      <w:pPr>
        <w:ind w:left="7140" w:hanging="360"/>
      </w:pPr>
      <w:rPr>
        <w:rFonts w:ascii="Courier New" w:hAnsi="Courier New" w:cs="Courier New" w:hint="default"/>
      </w:rPr>
    </w:lvl>
    <w:lvl w:ilvl="5" w:tplc="04090005" w:tentative="1">
      <w:start w:val="1"/>
      <w:numFmt w:val="bullet"/>
      <w:lvlText w:val=""/>
      <w:lvlJc w:val="left"/>
      <w:pPr>
        <w:ind w:left="7860" w:hanging="360"/>
      </w:pPr>
      <w:rPr>
        <w:rFonts w:ascii="Wingdings" w:hAnsi="Wingdings" w:hint="default"/>
      </w:rPr>
    </w:lvl>
    <w:lvl w:ilvl="6" w:tplc="04090001" w:tentative="1">
      <w:start w:val="1"/>
      <w:numFmt w:val="bullet"/>
      <w:lvlText w:val=""/>
      <w:lvlJc w:val="left"/>
      <w:pPr>
        <w:ind w:left="8580" w:hanging="360"/>
      </w:pPr>
      <w:rPr>
        <w:rFonts w:ascii="Symbol" w:hAnsi="Symbol" w:hint="default"/>
      </w:rPr>
    </w:lvl>
    <w:lvl w:ilvl="7" w:tplc="04090003" w:tentative="1">
      <w:start w:val="1"/>
      <w:numFmt w:val="bullet"/>
      <w:lvlText w:val="o"/>
      <w:lvlJc w:val="left"/>
      <w:pPr>
        <w:ind w:left="9300" w:hanging="360"/>
      </w:pPr>
      <w:rPr>
        <w:rFonts w:ascii="Courier New" w:hAnsi="Courier New" w:cs="Courier New" w:hint="default"/>
      </w:rPr>
    </w:lvl>
    <w:lvl w:ilvl="8" w:tplc="04090005" w:tentative="1">
      <w:start w:val="1"/>
      <w:numFmt w:val="bullet"/>
      <w:lvlText w:val=""/>
      <w:lvlJc w:val="left"/>
      <w:pPr>
        <w:ind w:left="10020" w:hanging="360"/>
      </w:pPr>
      <w:rPr>
        <w:rFonts w:ascii="Wingdings" w:hAnsi="Wingdings" w:hint="default"/>
      </w:rPr>
    </w:lvl>
  </w:abstractNum>
  <w:abstractNum w:abstractNumId="9" w15:restartNumberingAfterBreak="0">
    <w:nsid w:val="42D0599F"/>
    <w:multiLevelType w:val="hybridMultilevel"/>
    <w:tmpl w:val="1CAA158C"/>
    <w:lvl w:ilvl="0" w:tplc="C496606A">
      <w:start w:val="1"/>
      <w:numFmt w:val="upperLetter"/>
      <w:lvlText w:val="%1."/>
      <w:lvlJc w:val="left"/>
      <w:pPr>
        <w:ind w:left="2025" w:hanging="36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10" w15:restartNumberingAfterBreak="0">
    <w:nsid w:val="48925E09"/>
    <w:multiLevelType w:val="hybridMultilevel"/>
    <w:tmpl w:val="ADBEF934"/>
    <w:lvl w:ilvl="0" w:tplc="04180011">
      <w:start w:val="1"/>
      <w:numFmt w:val="decimal"/>
      <w:lvlText w:val="%1)"/>
      <w:lvlJc w:val="left"/>
      <w:pPr>
        <w:ind w:left="1995" w:hanging="360"/>
      </w:pPr>
    </w:lvl>
    <w:lvl w:ilvl="1" w:tplc="04180019" w:tentative="1">
      <w:start w:val="1"/>
      <w:numFmt w:val="lowerLetter"/>
      <w:lvlText w:val="%2."/>
      <w:lvlJc w:val="left"/>
      <w:pPr>
        <w:ind w:left="2715" w:hanging="360"/>
      </w:pPr>
    </w:lvl>
    <w:lvl w:ilvl="2" w:tplc="0418001B" w:tentative="1">
      <w:start w:val="1"/>
      <w:numFmt w:val="lowerRoman"/>
      <w:lvlText w:val="%3."/>
      <w:lvlJc w:val="right"/>
      <w:pPr>
        <w:ind w:left="3435" w:hanging="180"/>
      </w:pPr>
    </w:lvl>
    <w:lvl w:ilvl="3" w:tplc="0418000F" w:tentative="1">
      <w:start w:val="1"/>
      <w:numFmt w:val="decimal"/>
      <w:lvlText w:val="%4."/>
      <w:lvlJc w:val="left"/>
      <w:pPr>
        <w:ind w:left="4155" w:hanging="360"/>
      </w:pPr>
    </w:lvl>
    <w:lvl w:ilvl="4" w:tplc="04180019" w:tentative="1">
      <w:start w:val="1"/>
      <w:numFmt w:val="lowerLetter"/>
      <w:lvlText w:val="%5."/>
      <w:lvlJc w:val="left"/>
      <w:pPr>
        <w:ind w:left="4875" w:hanging="360"/>
      </w:pPr>
    </w:lvl>
    <w:lvl w:ilvl="5" w:tplc="0418001B" w:tentative="1">
      <w:start w:val="1"/>
      <w:numFmt w:val="lowerRoman"/>
      <w:lvlText w:val="%6."/>
      <w:lvlJc w:val="right"/>
      <w:pPr>
        <w:ind w:left="5595" w:hanging="180"/>
      </w:pPr>
    </w:lvl>
    <w:lvl w:ilvl="6" w:tplc="0418000F" w:tentative="1">
      <w:start w:val="1"/>
      <w:numFmt w:val="decimal"/>
      <w:lvlText w:val="%7."/>
      <w:lvlJc w:val="left"/>
      <w:pPr>
        <w:ind w:left="6315" w:hanging="360"/>
      </w:pPr>
    </w:lvl>
    <w:lvl w:ilvl="7" w:tplc="04180019" w:tentative="1">
      <w:start w:val="1"/>
      <w:numFmt w:val="lowerLetter"/>
      <w:lvlText w:val="%8."/>
      <w:lvlJc w:val="left"/>
      <w:pPr>
        <w:ind w:left="7035" w:hanging="360"/>
      </w:pPr>
    </w:lvl>
    <w:lvl w:ilvl="8" w:tplc="0418001B" w:tentative="1">
      <w:start w:val="1"/>
      <w:numFmt w:val="lowerRoman"/>
      <w:lvlText w:val="%9."/>
      <w:lvlJc w:val="right"/>
      <w:pPr>
        <w:ind w:left="7755" w:hanging="180"/>
      </w:pPr>
    </w:lvl>
  </w:abstractNum>
  <w:abstractNum w:abstractNumId="11" w15:restartNumberingAfterBreak="0">
    <w:nsid w:val="4D6B348B"/>
    <w:multiLevelType w:val="hybridMultilevel"/>
    <w:tmpl w:val="D2BAB8DA"/>
    <w:lvl w:ilvl="0" w:tplc="04180011">
      <w:start w:val="1"/>
      <w:numFmt w:val="decimal"/>
      <w:lvlText w:val="%1)"/>
      <w:lvlJc w:val="left"/>
      <w:pPr>
        <w:ind w:left="1995" w:hanging="360"/>
      </w:pPr>
    </w:lvl>
    <w:lvl w:ilvl="1" w:tplc="04180019" w:tentative="1">
      <w:start w:val="1"/>
      <w:numFmt w:val="lowerLetter"/>
      <w:lvlText w:val="%2."/>
      <w:lvlJc w:val="left"/>
      <w:pPr>
        <w:ind w:left="2715" w:hanging="360"/>
      </w:pPr>
    </w:lvl>
    <w:lvl w:ilvl="2" w:tplc="0418001B" w:tentative="1">
      <w:start w:val="1"/>
      <w:numFmt w:val="lowerRoman"/>
      <w:lvlText w:val="%3."/>
      <w:lvlJc w:val="right"/>
      <w:pPr>
        <w:ind w:left="3435" w:hanging="180"/>
      </w:pPr>
    </w:lvl>
    <w:lvl w:ilvl="3" w:tplc="0418000F" w:tentative="1">
      <w:start w:val="1"/>
      <w:numFmt w:val="decimal"/>
      <w:lvlText w:val="%4."/>
      <w:lvlJc w:val="left"/>
      <w:pPr>
        <w:ind w:left="4155" w:hanging="360"/>
      </w:pPr>
    </w:lvl>
    <w:lvl w:ilvl="4" w:tplc="04180019" w:tentative="1">
      <w:start w:val="1"/>
      <w:numFmt w:val="lowerLetter"/>
      <w:lvlText w:val="%5."/>
      <w:lvlJc w:val="left"/>
      <w:pPr>
        <w:ind w:left="4875" w:hanging="360"/>
      </w:pPr>
    </w:lvl>
    <w:lvl w:ilvl="5" w:tplc="0418001B" w:tentative="1">
      <w:start w:val="1"/>
      <w:numFmt w:val="lowerRoman"/>
      <w:lvlText w:val="%6."/>
      <w:lvlJc w:val="right"/>
      <w:pPr>
        <w:ind w:left="5595" w:hanging="180"/>
      </w:pPr>
    </w:lvl>
    <w:lvl w:ilvl="6" w:tplc="0418000F" w:tentative="1">
      <w:start w:val="1"/>
      <w:numFmt w:val="decimal"/>
      <w:lvlText w:val="%7."/>
      <w:lvlJc w:val="left"/>
      <w:pPr>
        <w:ind w:left="6315" w:hanging="360"/>
      </w:pPr>
    </w:lvl>
    <w:lvl w:ilvl="7" w:tplc="04180019" w:tentative="1">
      <w:start w:val="1"/>
      <w:numFmt w:val="lowerLetter"/>
      <w:lvlText w:val="%8."/>
      <w:lvlJc w:val="left"/>
      <w:pPr>
        <w:ind w:left="7035" w:hanging="360"/>
      </w:pPr>
    </w:lvl>
    <w:lvl w:ilvl="8" w:tplc="0418001B" w:tentative="1">
      <w:start w:val="1"/>
      <w:numFmt w:val="lowerRoman"/>
      <w:lvlText w:val="%9."/>
      <w:lvlJc w:val="right"/>
      <w:pPr>
        <w:ind w:left="7755" w:hanging="180"/>
      </w:pPr>
    </w:lvl>
  </w:abstractNum>
  <w:abstractNum w:abstractNumId="12" w15:restartNumberingAfterBreak="0">
    <w:nsid w:val="524730F9"/>
    <w:multiLevelType w:val="hybridMultilevel"/>
    <w:tmpl w:val="EF145BD0"/>
    <w:lvl w:ilvl="0" w:tplc="46C09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E437F5"/>
    <w:multiLevelType w:val="hybridMultilevel"/>
    <w:tmpl w:val="042C65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0"/>
  </w:num>
  <w:num w:numId="5">
    <w:abstractNumId w:val="7"/>
  </w:num>
  <w:num w:numId="6">
    <w:abstractNumId w:val="2"/>
  </w:num>
  <w:num w:numId="7">
    <w:abstractNumId w:val="5"/>
  </w:num>
  <w:num w:numId="8">
    <w:abstractNumId w:val="6"/>
  </w:num>
  <w:num w:numId="9">
    <w:abstractNumId w:val="13"/>
  </w:num>
  <w:num w:numId="10">
    <w:abstractNumId w:val="12"/>
  </w:num>
  <w:num w:numId="11">
    <w:abstractNumId w:val="8"/>
  </w:num>
  <w:num w:numId="12">
    <w:abstractNumId w:val="11"/>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D93"/>
    <w:rsid w:val="000563DC"/>
    <w:rsid w:val="00060BF8"/>
    <w:rsid w:val="000A68A5"/>
    <w:rsid w:val="000B51D9"/>
    <w:rsid w:val="000F7121"/>
    <w:rsid w:val="001042C2"/>
    <w:rsid w:val="00143D93"/>
    <w:rsid w:val="00155792"/>
    <w:rsid w:val="001E7523"/>
    <w:rsid w:val="0021244D"/>
    <w:rsid w:val="002301D8"/>
    <w:rsid w:val="00243218"/>
    <w:rsid w:val="002C38C8"/>
    <w:rsid w:val="002D30C2"/>
    <w:rsid w:val="003002E3"/>
    <w:rsid w:val="00300644"/>
    <w:rsid w:val="00342B38"/>
    <w:rsid w:val="00360D4C"/>
    <w:rsid w:val="003705B9"/>
    <w:rsid w:val="0038459D"/>
    <w:rsid w:val="003D09E2"/>
    <w:rsid w:val="003F5BEC"/>
    <w:rsid w:val="00410873"/>
    <w:rsid w:val="00412F4B"/>
    <w:rsid w:val="0041546E"/>
    <w:rsid w:val="004249BB"/>
    <w:rsid w:val="00426F30"/>
    <w:rsid w:val="004305EC"/>
    <w:rsid w:val="00466DE0"/>
    <w:rsid w:val="00473E14"/>
    <w:rsid w:val="004833D7"/>
    <w:rsid w:val="004B377B"/>
    <w:rsid w:val="004B421A"/>
    <w:rsid w:val="004B6D94"/>
    <w:rsid w:val="004C5865"/>
    <w:rsid w:val="004D03D8"/>
    <w:rsid w:val="004D29D5"/>
    <w:rsid w:val="004E250B"/>
    <w:rsid w:val="004F7D40"/>
    <w:rsid w:val="00501AEA"/>
    <w:rsid w:val="00501B06"/>
    <w:rsid w:val="00516863"/>
    <w:rsid w:val="005440D4"/>
    <w:rsid w:val="0054623F"/>
    <w:rsid w:val="0055785C"/>
    <w:rsid w:val="00561E14"/>
    <w:rsid w:val="0056347E"/>
    <w:rsid w:val="005937FF"/>
    <w:rsid w:val="005C2D13"/>
    <w:rsid w:val="00604E90"/>
    <w:rsid w:val="00613C38"/>
    <w:rsid w:val="006266A5"/>
    <w:rsid w:val="00635F19"/>
    <w:rsid w:val="006835D2"/>
    <w:rsid w:val="006E2EDC"/>
    <w:rsid w:val="00761120"/>
    <w:rsid w:val="00767634"/>
    <w:rsid w:val="00782D7E"/>
    <w:rsid w:val="00792D85"/>
    <w:rsid w:val="007A41A9"/>
    <w:rsid w:val="007C472B"/>
    <w:rsid w:val="007D43C3"/>
    <w:rsid w:val="007F2F1D"/>
    <w:rsid w:val="007F580C"/>
    <w:rsid w:val="007F5D36"/>
    <w:rsid w:val="00815699"/>
    <w:rsid w:val="00825D69"/>
    <w:rsid w:val="008736AA"/>
    <w:rsid w:val="008A1228"/>
    <w:rsid w:val="008B2619"/>
    <w:rsid w:val="008C2D1A"/>
    <w:rsid w:val="008D2B02"/>
    <w:rsid w:val="008E6A87"/>
    <w:rsid w:val="008F51CE"/>
    <w:rsid w:val="00904909"/>
    <w:rsid w:val="0092694F"/>
    <w:rsid w:val="00927F72"/>
    <w:rsid w:val="009778A5"/>
    <w:rsid w:val="009D39D7"/>
    <w:rsid w:val="00A125AB"/>
    <w:rsid w:val="00A2350A"/>
    <w:rsid w:val="00A30D53"/>
    <w:rsid w:val="00A54CBA"/>
    <w:rsid w:val="00A54D0F"/>
    <w:rsid w:val="00A70C96"/>
    <w:rsid w:val="00A818C0"/>
    <w:rsid w:val="00AE3A60"/>
    <w:rsid w:val="00B40572"/>
    <w:rsid w:val="00B615A6"/>
    <w:rsid w:val="00B83393"/>
    <w:rsid w:val="00B93C13"/>
    <w:rsid w:val="00BA212C"/>
    <w:rsid w:val="00BB1DAE"/>
    <w:rsid w:val="00BC2F48"/>
    <w:rsid w:val="00BC34E4"/>
    <w:rsid w:val="00BD05E1"/>
    <w:rsid w:val="00C276F9"/>
    <w:rsid w:val="00C413D4"/>
    <w:rsid w:val="00C440BA"/>
    <w:rsid w:val="00CB2918"/>
    <w:rsid w:val="00CF1D5A"/>
    <w:rsid w:val="00D04C5B"/>
    <w:rsid w:val="00D065B1"/>
    <w:rsid w:val="00D24BA2"/>
    <w:rsid w:val="00D27485"/>
    <w:rsid w:val="00D57D44"/>
    <w:rsid w:val="00D67A20"/>
    <w:rsid w:val="00D70E29"/>
    <w:rsid w:val="00D72F84"/>
    <w:rsid w:val="00D737C3"/>
    <w:rsid w:val="00D739A9"/>
    <w:rsid w:val="00DA5278"/>
    <w:rsid w:val="00DA68AB"/>
    <w:rsid w:val="00DB3D82"/>
    <w:rsid w:val="00DF23F0"/>
    <w:rsid w:val="00E110C5"/>
    <w:rsid w:val="00E23A42"/>
    <w:rsid w:val="00E44EE9"/>
    <w:rsid w:val="00E50A12"/>
    <w:rsid w:val="00E916C6"/>
    <w:rsid w:val="00EE2FBD"/>
    <w:rsid w:val="00F155B7"/>
    <w:rsid w:val="00F43EE7"/>
    <w:rsid w:val="00F94B0E"/>
    <w:rsid w:val="00FC6CC7"/>
    <w:rsid w:val="00FE3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C811C"/>
  <w15:docId w15:val="{B430E9D6-AA1A-4557-BA74-C307C8F4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E14"/>
    <w:pPr>
      <w:ind w:left="720"/>
      <w:contextualSpacing/>
    </w:pPr>
  </w:style>
  <w:style w:type="character" w:styleId="Hyperlink">
    <w:name w:val="Hyperlink"/>
    <w:basedOn w:val="DefaultParagraphFont"/>
    <w:uiPriority w:val="99"/>
    <w:unhideWhenUsed/>
    <w:rsid w:val="00FE34BA"/>
    <w:rPr>
      <w:color w:val="0000FF" w:themeColor="hyperlink"/>
      <w:u w:val="single"/>
    </w:rPr>
  </w:style>
  <w:style w:type="paragraph" w:styleId="Header">
    <w:name w:val="header"/>
    <w:basedOn w:val="Normal"/>
    <w:link w:val="HeaderChar"/>
    <w:uiPriority w:val="99"/>
    <w:unhideWhenUsed/>
    <w:rsid w:val="008C2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D1A"/>
  </w:style>
  <w:style w:type="paragraph" w:styleId="Footer">
    <w:name w:val="footer"/>
    <w:basedOn w:val="Normal"/>
    <w:link w:val="FooterChar"/>
    <w:uiPriority w:val="99"/>
    <w:unhideWhenUsed/>
    <w:rsid w:val="008C2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D1A"/>
  </w:style>
  <w:style w:type="paragraph" w:styleId="NormalWeb">
    <w:name w:val="Normal (Web)"/>
    <w:basedOn w:val="Normal"/>
    <w:uiPriority w:val="99"/>
    <w:semiHidden/>
    <w:unhideWhenUsed/>
    <w:rsid w:val="008156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0">
    <w:name w:val="Style30"/>
    <w:basedOn w:val="Normal"/>
    <w:uiPriority w:val="99"/>
    <w:rsid w:val="00DB3D82"/>
    <w:pPr>
      <w:widowControl w:val="0"/>
      <w:autoSpaceDE w:val="0"/>
      <w:autoSpaceDN w:val="0"/>
      <w:adjustRightInd w:val="0"/>
      <w:spacing w:after="0" w:line="454" w:lineRule="exact"/>
      <w:ind w:firstLine="538"/>
      <w:jc w:val="both"/>
    </w:pPr>
    <w:rPr>
      <w:rFonts w:ascii="Calibri" w:eastAsiaTheme="minorEastAsia" w:hAnsi="Calibri"/>
      <w:sz w:val="24"/>
      <w:szCs w:val="24"/>
      <w:lang w:val="ro-RO" w:eastAsia="ro-RO"/>
    </w:rPr>
  </w:style>
  <w:style w:type="character" w:customStyle="1" w:styleId="FontStyle45">
    <w:name w:val="Font Style45"/>
    <w:basedOn w:val="DefaultParagraphFont"/>
    <w:uiPriority w:val="99"/>
    <w:rsid w:val="00DB3D82"/>
    <w:rPr>
      <w:rFonts w:ascii="Times New Roman" w:hAnsi="Times New Roman" w:cs="Times New Roman"/>
      <w:sz w:val="36"/>
      <w:szCs w:val="36"/>
    </w:rPr>
  </w:style>
  <w:style w:type="character" w:customStyle="1" w:styleId="FontStyle46">
    <w:name w:val="Font Style46"/>
    <w:basedOn w:val="DefaultParagraphFont"/>
    <w:uiPriority w:val="99"/>
    <w:rsid w:val="00DB3D82"/>
    <w:rPr>
      <w:rFonts w:ascii="Times New Roman" w:hAnsi="Times New Roman" w:cs="Times New Roman"/>
      <w:b/>
      <w:bCs/>
      <w:sz w:val="36"/>
      <w:szCs w:val="36"/>
    </w:rPr>
  </w:style>
  <w:style w:type="paragraph" w:customStyle="1" w:styleId="Style29">
    <w:name w:val="Style29"/>
    <w:basedOn w:val="Normal"/>
    <w:uiPriority w:val="99"/>
    <w:rsid w:val="00DB3D82"/>
    <w:pPr>
      <w:widowControl w:val="0"/>
      <w:autoSpaceDE w:val="0"/>
      <w:autoSpaceDN w:val="0"/>
      <w:adjustRightInd w:val="0"/>
      <w:spacing w:after="0" w:line="453" w:lineRule="exact"/>
      <w:jc w:val="both"/>
    </w:pPr>
    <w:rPr>
      <w:rFonts w:ascii="Calibri" w:eastAsiaTheme="minorEastAsia" w:hAnsi="Calibri"/>
      <w:sz w:val="24"/>
      <w:szCs w:val="24"/>
      <w:lang w:val="ro-RO" w:eastAsia="ro-RO"/>
    </w:rPr>
  </w:style>
  <w:style w:type="character" w:customStyle="1" w:styleId="FontStyle44">
    <w:name w:val="Font Style44"/>
    <w:basedOn w:val="DefaultParagraphFont"/>
    <w:uiPriority w:val="99"/>
    <w:rsid w:val="00DB3D82"/>
    <w:rPr>
      <w:rFonts w:ascii="Franklin Gothic Demi Cond" w:hAnsi="Franklin Gothic Demi Cond" w:cs="Franklin Gothic Demi Cond"/>
      <w:b/>
      <w:bCs/>
      <w:sz w:val="36"/>
      <w:szCs w:val="36"/>
    </w:rPr>
  </w:style>
  <w:style w:type="paragraph" w:styleId="FootnoteText">
    <w:name w:val="footnote text"/>
    <w:basedOn w:val="Normal"/>
    <w:link w:val="FootnoteTextChar"/>
    <w:uiPriority w:val="99"/>
    <w:semiHidden/>
    <w:unhideWhenUsed/>
    <w:rsid w:val="009269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694F"/>
    <w:rPr>
      <w:sz w:val="20"/>
      <w:szCs w:val="20"/>
    </w:rPr>
  </w:style>
  <w:style w:type="character" w:styleId="FootnoteReference">
    <w:name w:val="footnote reference"/>
    <w:basedOn w:val="DefaultParagraphFont"/>
    <w:uiPriority w:val="99"/>
    <w:semiHidden/>
    <w:unhideWhenUsed/>
    <w:rsid w:val="0092694F"/>
    <w:rPr>
      <w:vertAlign w:val="superscript"/>
    </w:rPr>
  </w:style>
  <w:style w:type="table" w:styleId="TableGrid">
    <w:name w:val="Table Grid"/>
    <w:basedOn w:val="TableNormal"/>
    <w:uiPriority w:val="59"/>
    <w:rsid w:val="00C41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6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1134">
      <w:bodyDiv w:val="1"/>
      <w:marLeft w:val="0"/>
      <w:marRight w:val="0"/>
      <w:marTop w:val="0"/>
      <w:marBottom w:val="0"/>
      <w:divBdr>
        <w:top w:val="none" w:sz="0" w:space="0" w:color="auto"/>
        <w:left w:val="none" w:sz="0" w:space="0" w:color="auto"/>
        <w:bottom w:val="none" w:sz="0" w:space="0" w:color="auto"/>
        <w:right w:val="none" w:sz="0" w:space="0" w:color="auto"/>
      </w:divBdr>
    </w:div>
    <w:div w:id="152533827">
      <w:bodyDiv w:val="1"/>
      <w:marLeft w:val="0"/>
      <w:marRight w:val="0"/>
      <w:marTop w:val="0"/>
      <w:marBottom w:val="0"/>
      <w:divBdr>
        <w:top w:val="none" w:sz="0" w:space="0" w:color="auto"/>
        <w:left w:val="none" w:sz="0" w:space="0" w:color="auto"/>
        <w:bottom w:val="none" w:sz="0" w:space="0" w:color="auto"/>
        <w:right w:val="none" w:sz="0" w:space="0" w:color="auto"/>
      </w:divBdr>
    </w:div>
    <w:div w:id="195968596">
      <w:bodyDiv w:val="1"/>
      <w:marLeft w:val="0"/>
      <w:marRight w:val="0"/>
      <w:marTop w:val="0"/>
      <w:marBottom w:val="0"/>
      <w:divBdr>
        <w:top w:val="none" w:sz="0" w:space="0" w:color="auto"/>
        <w:left w:val="none" w:sz="0" w:space="0" w:color="auto"/>
        <w:bottom w:val="none" w:sz="0" w:space="0" w:color="auto"/>
        <w:right w:val="none" w:sz="0" w:space="0" w:color="auto"/>
      </w:divBdr>
    </w:div>
    <w:div w:id="371734917">
      <w:bodyDiv w:val="1"/>
      <w:marLeft w:val="0"/>
      <w:marRight w:val="0"/>
      <w:marTop w:val="0"/>
      <w:marBottom w:val="0"/>
      <w:divBdr>
        <w:top w:val="none" w:sz="0" w:space="0" w:color="auto"/>
        <w:left w:val="none" w:sz="0" w:space="0" w:color="auto"/>
        <w:bottom w:val="none" w:sz="0" w:space="0" w:color="auto"/>
        <w:right w:val="none" w:sz="0" w:space="0" w:color="auto"/>
      </w:divBdr>
    </w:div>
    <w:div w:id="383524068">
      <w:bodyDiv w:val="1"/>
      <w:marLeft w:val="0"/>
      <w:marRight w:val="0"/>
      <w:marTop w:val="0"/>
      <w:marBottom w:val="0"/>
      <w:divBdr>
        <w:top w:val="none" w:sz="0" w:space="0" w:color="auto"/>
        <w:left w:val="none" w:sz="0" w:space="0" w:color="auto"/>
        <w:bottom w:val="none" w:sz="0" w:space="0" w:color="auto"/>
        <w:right w:val="none" w:sz="0" w:space="0" w:color="auto"/>
      </w:divBdr>
    </w:div>
    <w:div w:id="686370073">
      <w:bodyDiv w:val="1"/>
      <w:marLeft w:val="0"/>
      <w:marRight w:val="0"/>
      <w:marTop w:val="0"/>
      <w:marBottom w:val="0"/>
      <w:divBdr>
        <w:top w:val="none" w:sz="0" w:space="0" w:color="auto"/>
        <w:left w:val="none" w:sz="0" w:space="0" w:color="auto"/>
        <w:bottom w:val="none" w:sz="0" w:space="0" w:color="auto"/>
        <w:right w:val="none" w:sz="0" w:space="0" w:color="auto"/>
      </w:divBdr>
    </w:div>
    <w:div w:id="749304299">
      <w:bodyDiv w:val="1"/>
      <w:marLeft w:val="0"/>
      <w:marRight w:val="0"/>
      <w:marTop w:val="0"/>
      <w:marBottom w:val="0"/>
      <w:divBdr>
        <w:top w:val="none" w:sz="0" w:space="0" w:color="auto"/>
        <w:left w:val="none" w:sz="0" w:space="0" w:color="auto"/>
        <w:bottom w:val="none" w:sz="0" w:space="0" w:color="auto"/>
        <w:right w:val="none" w:sz="0" w:space="0" w:color="auto"/>
      </w:divBdr>
    </w:div>
    <w:div w:id="768232196">
      <w:bodyDiv w:val="1"/>
      <w:marLeft w:val="0"/>
      <w:marRight w:val="0"/>
      <w:marTop w:val="0"/>
      <w:marBottom w:val="0"/>
      <w:divBdr>
        <w:top w:val="none" w:sz="0" w:space="0" w:color="auto"/>
        <w:left w:val="none" w:sz="0" w:space="0" w:color="auto"/>
        <w:bottom w:val="none" w:sz="0" w:space="0" w:color="auto"/>
        <w:right w:val="none" w:sz="0" w:space="0" w:color="auto"/>
      </w:divBdr>
    </w:div>
    <w:div w:id="844593953">
      <w:bodyDiv w:val="1"/>
      <w:marLeft w:val="0"/>
      <w:marRight w:val="0"/>
      <w:marTop w:val="0"/>
      <w:marBottom w:val="0"/>
      <w:divBdr>
        <w:top w:val="none" w:sz="0" w:space="0" w:color="auto"/>
        <w:left w:val="none" w:sz="0" w:space="0" w:color="auto"/>
        <w:bottom w:val="none" w:sz="0" w:space="0" w:color="auto"/>
        <w:right w:val="none" w:sz="0" w:space="0" w:color="auto"/>
      </w:divBdr>
    </w:div>
    <w:div w:id="874544734">
      <w:bodyDiv w:val="1"/>
      <w:marLeft w:val="0"/>
      <w:marRight w:val="0"/>
      <w:marTop w:val="0"/>
      <w:marBottom w:val="0"/>
      <w:divBdr>
        <w:top w:val="none" w:sz="0" w:space="0" w:color="auto"/>
        <w:left w:val="none" w:sz="0" w:space="0" w:color="auto"/>
        <w:bottom w:val="none" w:sz="0" w:space="0" w:color="auto"/>
        <w:right w:val="none" w:sz="0" w:space="0" w:color="auto"/>
      </w:divBdr>
    </w:div>
    <w:div w:id="904799704">
      <w:bodyDiv w:val="1"/>
      <w:marLeft w:val="0"/>
      <w:marRight w:val="0"/>
      <w:marTop w:val="0"/>
      <w:marBottom w:val="0"/>
      <w:divBdr>
        <w:top w:val="none" w:sz="0" w:space="0" w:color="auto"/>
        <w:left w:val="none" w:sz="0" w:space="0" w:color="auto"/>
        <w:bottom w:val="none" w:sz="0" w:space="0" w:color="auto"/>
        <w:right w:val="none" w:sz="0" w:space="0" w:color="auto"/>
      </w:divBdr>
    </w:div>
    <w:div w:id="1033387851">
      <w:bodyDiv w:val="1"/>
      <w:marLeft w:val="0"/>
      <w:marRight w:val="0"/>
      <w:marTop w:val="0"/>
      <w:marBottom w:val="0"/>
      <w:divBdr>
        <w:top w:val="none" w:sz="0" w:space="0" w:color="auto"/>
        <w:left w:val="none" w:sz="0" w:space="0" w:color="auto"/>
        <w:bottom w:val="none" w:sz="0" w:space="0" w:color="auto"/>
        <w:right w:val="none" w:sz="0" w:space="0" w:color="auto"/>
      </w:divBdr>
    </w:div>
    <w:div w:id="1184828325">
      <w:bodyDiv w:val="1"/>
      <w:marLeft w:val="0"/>
      <w:marRight w:val="0"/>
      <w:marTop w:val="0"/>
      <w:marBottom w:val="0"/>
      <w:divBdr>
        <w:top w:val="none" w:sz="0" w:space="0" w:color="auto"/>
        <w:left w:val="none" w:sz="0" w:space="0" w:color="auto"/>
        <w:bottom w:val="none" w:sz="0" w:space="0" w:color="auto"/>
        <w:right w:val="none" w:sz="0" w:space="0" w:color="auto"/>
      </w:divBdr>
    </w:div>
    <w:div w:id="1266960687">
      <w:bodyDiv w:val="1"/>
      <w:marLeft w:val="0"/>
      <w:marRight w:val="0"/>
      <w:marTop w:val="0"/>
      <w:marBottom w:val="0"/>
      <w:divBdr>
        <w:top w:val="none" w:sz="0" w:space="0" w:color="auto"/>
        <w:left w:val="none" w:sz="0" w:space="0" w:color="auto"/>
        <w:bottom w:val="none" w:sz="0" w:space="0" w:color="auto"/>
        <w:right w:val="none" w:sz="0" w:space="0" w:color="auto"/>
      </w:divBdr>
    </w:div>
    <w:div w:id="1309281706">
      <w:bodyDiv w:val="1"/>
      <w:marLeft w:val="0"/>
      <w:marRight w:val="0"/>
      <w:marTop w:val="0"/>
      <w:marBottom w:val="0"/>
      <w:divBdr>
        <w:top w:val="none" w:sz="0" w:space="0" w:color="auto"/>
        <w:left w:val="none" w:sz="0" w:space="0" w:color="auto"/>
        <w:bottom w:val="none" w:sz="0" w:space="0" w:color="auto"/>
        <w:right w:val="none" w:sz="0" w:space="0" w:color="auto"/>
      </w:divBdr>
    </w:div>
    <w:div w:id="1402557988">
      <w:bodyDiv w:val="1"/>
      <w:marLeft w:val="0"/>
      <w:marRight w:val="0"/>
      <w:marTop w:val="0"/>
      <w:marBottom w:val="0"/>
      <w:divBdr>
        <w:top w:val="none" w:sz="0" w:space="0" w:color="auto"/>
        <w:left w:val="none" w:sz="0" w:space="0" w:color="auto"/>
        <w:bottom w:val="none" w:sz="0" w:space="0" w:color="auto"/>
        <w:right w:val="none" w:sz="0" w:space="0" w:color="auto"/>
      </w:divBdr>
    </w:div>
    <w:div w:id="1462722072">
      <w:bodyDiv w:val="1"/>
      <w:marLeft w:val="0"/>
      <w:marRight w:val="0"/>
      <w:marTop w:val="0"/>
      <w:marBottom w:val="0"/>
      <w:divBdr>
        <w:top w:val="none" w:sz="0" w:space="0" w:color="auto"/>
        <w:left w:val="none" w:sz="0" w:space="0" w:color="auto"/>
        <w:bottom w:val="none" w:sz="0" w:space="0" w:color="auto"/>
        <w:right w:val="none" w:sz="0" w:space="0" w:color="auto"/>
      </w:divBdr>
    </w:div>
    <w:div w:id="1512913640">
      <w:bodyDiv w:val="1"/>
      <w:marLeft w:val="0"/>
      <w:marRight w:val="0"/>
      <w:marTop w:val="0"/>
      <w:marBottom w:val="0"/>
      <w:divBdr>
        <w:top w:val="none" w:sz="0" w:space="0" w:color="auto"/>
        <w:left w:val="none" w:sz="0" w:space="0" w:color="auto"/>
        <w:bottom w:val="none" w:sz="0" w:space="0" w:color="auto"/>
        <w:right w:val="none" w:sz="0" w:space="0" w:color="auto"/>
      </w:divBdr>
    </w:div>
    <w:div w:id="1581256764">
      <w:bodyDiv w:val="1"/>
      <w:marLeft w:val="0"/>
      <w:marRight w:val="0"/>
      <w:marTop w:val="0"/>
      <w:marBottom w:val="0"/>
      <w:divBdr>
        <w:top w:val="none" w:sz="0" w:space="0" w:color="auto"/>
        <w:left w:val="none" w:sz="0" w:space="0" w:color="auto"/>
        <w:bottom w:val="none" w:sz="0" w:space="0" w:color="auto"/>
        <w:right w:val="none" w:sz="0" w:space="0" w:color="auto"/>
      </w:divBdr>
    </w:div>
    <w:div w:id="1871262116">
      <w:bodyDiv w:val="1"/>
      <w:marLeft w:val="0"/>
      <w:marRight w:val="0"/>
      <w:marTop w:val="0"/>
      <w:marBottom w:val="0"/>
      <w:divBdr>
        <w:top w:val="none" w:sz="0" w:space="0" w:color="auto"/>
        <w:left w:val="none" w:sz="0" w:space="0" w:color="auto"/>
        <w:bottom w:val="none" w:sz="0" w:space="0" w:color="auto"/>
        <w:right w:val="none" w:sz="0" w:space="0" w:color="auto"/>
      </w:divBdr>
    </w:div>
    <w:div w:id="2058581344">
      <w:bodyDiv w:val="1"/>
      <w:marLeft w:val="0"/>
      <w:marRight w:val="0"/>
      <w:marTop w:val="0"/>
      <w:marBottom w:val="0"/>
      <w:divBdr>
        <w:top w:val="none" w:sz="0" w:space="0" w:color="auto"/>
        <w:left w:val="none" w:sz="0" w:space="0" w:color="auto"/>
        <w:bottom w:val="none" w:sz="0" w:space="0" w:color="auto"/>
        <w:right w:val="none" w:sz="0" w:space="0" w:color="auto"/>
      </w:divBdr>
    </w:div>
    <w:div w:id="2071417385">
      <w:bodyDiv w:val="1"/>
      <w:marLeft w:val="0"/>
      <w:marRight w:val="0"/>
      <w:marTop w:val="0"/>
      <w:marBottom w:val="0"/>
      <w:divBdr>
        <w:top w:val="none" w:sz="0" w:space="0" w:color="auto"/>
        <w:left w:val="none" w:sz="0" w:space="0" w:color="auto"/>
        <w:bottom w:val="none" w:sz="0" w:space="0" w:color="auto"/>
        <w:right w:val="none" w:sz="0" w:space="0" w:color="auto"/>
      </w:divBdr>
    </w:div>
    <w:div w:id="209335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ister.consilium.europa.eu/doc/srv?l=ro&amp;f=ST%206251%202014%20IN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8B9B5-33AE-470B-828D-A9A8867EB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11560</Words>
  <Characters>65894</Characters>
  <Application>Microsoft Office Word</Application>
  <DocSecurity>0</DocSecurity>
  <Lines>549</Lines>
  <Paragraphs>154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Daniel Horodniceanu</cp:lastModifiedBy>
  <cp:revision>2</cp:revision>
  <cp:lastPrinted>2019-03-28T08:33:00Z</cp:lastPrinted>
  <dcterms:created xsi:type="dcterms:W3CDTF">2019-03-28T11:04:00Z</dcterms:created>
  <dcterms:modified xsi:type="dcterms:W3CDTF">2019-03-28T11:04:00Z</dcterms:modified>
</cp:coreProperties>
</file>