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0B" w:rsidRDefault="00324358">
      <w:pPr>
        <w:pStyle w:val="Title"/>
        <w:spacing w:line="360" w:lineRule="auto"/>
      </w:pPr>
      <w:bookmarkStart w:id="0" w:name="_GoBack"/>
      <w:bookmarkEnd w:id="0"/>
      <w:r>
        <w:rPr>
          <w:sz w:val="24"/>
          <w:lang w:val="ro-RO"/>
        </w:rPr>
        <w:t>EXPUNERE DE MOTIVE</w:t>
      </w:r>
    </w:p>
    <w:p w:rsidR="00176B0B" w:rsidRPr="009A682A" w:rsidRDefault="00176B0B">
      <w:pPr>
        <w:pStyle w:val="Title"/>
        <w:tabs>
          <w:tab w:val="left" w:pos="1665"/>
        </w:tabs>
        <w:spacing w:line="360" w:lineRule="auto"/>
        <w:rPr>
          <w:sz w:val="24"/>
          <w:lang w:val="ro-RO"/>
        </w:rPr>
      </w:pPr>
    </w:p>
    <w:p w:rsidR="00176B0B" w:rsidRPr="009A682A" w:rsidRDefault="00324358">
      <w:pPr>
        <w:pStyle w:val="Title"/>
        <w:spacing w:line="360" w:lineRule="auto"/>
        <w:rPr>
          <w:sz w:val="24"/>
          <w:lang w:val="ro-RO"/>
        </w:rPr>
      </w:pPr>
      <w:r w:rsidRPr="009A682A">
        <w:rPr>
          <w:sz w:val="24"/>
          <w:lang w:val="ro-RO"/>
        </w:rPr>
        <w:t>LEGE PRIVIND</w:t>
      </w:r>
    </w:p>
    <w:p w:rsidR="009A682A" w:rsidRPr="009A682A" w:rsidRDefault="009A682A" w:rsidP="009A682A">
      <w:pPr>
        <w:spacing w:after="0" w:line="276" w:lineRule="auto"/>
        <w:jc w:val="center"/>
        <w:rPr>
          <w:rFonts w:ascii="Times New Roman" w:hAnsi="Times New Roman" w:cs="Times New Roman"/>
          <w:b/>
          <w:sz w:val="24"/>
          <w:szCs w:val="24"/>
          <w:lang w:val="ro-RO"/>
        </w:rPr>
      </w:pPr>
      <w:r w:rsidRPr="009A682A">
        <w:rPr>
          <w:rFonts w:ascii="Times New Roman" w:hAnsi="Times New Roman" w:cs="Times New Roman"/>
          <w:b/>
          <w:sz w:val="24"/>
          <w:szCs w:val="24"/>
          <w:lang w:val="ro-RO"/>
        </w:rPr>
        <w:t>PARTENERIATUL CIVIL</w:t>
      </w:r>
    </w:p>
    <w:p w:rsidR="00176B0B" w:rsidRDefault="00176B0B">
      <w:pPr>
        <w:pStyle w:val="Title"/>
        <w:spacing w:line="360" w:lineRule="auto"/>
        <w:rPr>
          <w:sz w:val="24"/>
        </w:rPr>
      </w:pPr>
    </w:p>
    <w:p w:rsidR="00176B0B" w:rsidRDefault="00176B0B">
      <w:pPr>
        <w:pStyle w:val="Standard"/>
        <w:spacing w:after="0" w:line="360" w:lineRule="auto"/>
        <w:jc w:val="both"/>
        <w:rPr>
          <w:rFonts w:ascii="Times New Roman" w:hAnsi="Times New Roman" w:cs="Times New Roman"/>
          <w:sz w:val="24"/>
          <w:szCs w:val="24"/>
          <w:lang w:val="ro-RO"/>
        </w:rPr>
      </w:pPr>
    </w:p>
    <w:p w:rsidR="00176B0B" w:rsidRDefault="00176B0B">
      <w:pPr>
        <w:pStyle w:val="Textbody"/>
        <w:spacing w:after="0" w:line="360" w:lineRule="auto"/>
        <w:jc w:val="both"/>
      </w:pPr>
    </w:p>
    <w:p w:rsidR="00176B0B" w:rsidRDefault="0032435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Familia este primul loc în care se manifestă solidaritatea socială. În cadrul familiei, se acordă grija în viaţa de zi cu zi între membrii ei, sprijinul reciproc în situaţii grele, familia asigură cadrul de creştere şi dezvoltare a copiilor. De aceea, interesul societăţii este să sprijine familia în diferitele ei forme şi să-i protejeze pe membrii ei, în momentele în care sunt mai vulnerabili. Pentru că românii aleg din ce în ce mai mult să trăiască în familii </w:t>
      </w:r>
      <w:r w:rsidR="009A682A">
        <w:rPr>
          <w:rFonts w:ascii="Times New Roman" w:hAnsi="Times New Roman" w:cs="Times New Roman"/>
          <w:sz w:val="24"/>
          <w:szCs w:val="24"/>
        </w:rPr>
        <w:t>de facto</w:t>
      </w:r>
      <w:r>
        <w:rPr>
          <w:rFonts w:ascii="Times New Roman" w:hAnsi="Times New Roman" w:cs="Times New Roman"/>
          <w:sz w:val="24"/>
          <w:szCs w:val="24"/>
        </w:rPr>
        <w:t>, dar fără protecţia juridică aferentă unei relaţii recunoscute legal şi înregistrate, este necesară adoptarea unui cadru legal special care să reglementeze</w:t>
      </w:r>
      <w:r w:rsidR="009A682A">
        <w:rPr>
          <w:rFonts w:ascii="Times New Roman" w:hAnsi="Times New Roman" w:cs="Times New Roman"/>
          <w:sz w:val="24"/>
          <w:szCs w:val="24"/>
        </w:rPr>
        <w:t xml:space="preserve"> </w:t>
      </w:r>
      <w:r w:rsidR="009A682A" w:rsidRPr="009A682A">
        <w:rPr>
          <w:rFonts w:ascii="Times New Roman" w:hAnsi="Times New Roman" w:cs="Times New Roman"/>
          <w:sz w:val="24"/>
          <w:szCs w:val="24"/>
        </w:rPr>
        <w:t>parteneriat</w:t>
      </w:r>
      <w:r w:rsidR="009A682A">
        <w:rPr>
          <w:rFonts w:ascii="Times New Roman" w:hAnsi="Times New Roman" w:cs="Times New Roman"/>
          <w:sz w:val="24"/>
          <w:szCs w:val="24"/>
        </w:rPr>
        <w:t>ul</w:t>
      </w:r>
      <w:r w:rsidR="009A682A" w:rsidRPr="009A682A">
        <w:rPr>
          <w:rFonts w:ascii="Times New Roman" w:hAnsi="Times New Roman" w:cs="Times New Roman"/>
          <w:sz w:val="24"/>
          <w:szCs w:val="24"/>
        </w:rPr>
        <w:t xml:space="preserve"> civil</w:t>
      </w:r>
      <w:r>
        <w:rPr>
          <w:rFonts w:ascii="Times New Roman" w:hAnsi="Times New Roman" w:cs="Times New Roman"/>
          <w:sz w:val="24"/>
          <w:szCs w:val="24"/>
        </w:rPr>
        <w:t xml:space="preserve">.  </w:t>
      </w:r>
    </w:p>
    <w:p w:rsidR="00176B0B" w:rsidRDefault="00324358">
      <w:pPr>
        <w:pStyle w:val="Textbody"/>
        <w:tabs>
          <w:tab w:val="left" w:pos="1400"/>
        </w:tabs>
        <w:spacing w:after="0" w:line="360" w:lineRule="auto"/>
        <w:jc w:val="both"/>
      </w:pPr>
      <w:r>
        <w:tab/>
      </w:r>
    </w:p>
    <w:p w:rsidR="00176B0B" w:rsidRDefault="00324358">
      <w:pPr>
        <w:pStyle w:val="Standard"/>
        <w:spacing w:after="0" w:line="360" w:lineRule="auto"/>
        <w:jc w:val="both"/>
      </w:pPr>
      <w:r>
        <w:rPr>
          <w:rFonts w:ascii="Times New Roman" w:hAnsi="Times New Roman" w:cs="Times New Roman"/>
          <w:sz w:val="24"/>
          <w:szCs w:val="24"/>
        </w:rPr>
        <w:t>Conform datelor furnizate de Institutul Național de Statistică, în societatea românească actuală există</w:t>
      </w:r>
      <w:r w:rsidR="00DC108B">
        <w:rPr>
          <w:rFonts w:ascii="Times New Roman" w:hAnsi="Times New Roman" w:cs="Times New Roman"/>
          <w:sz w:val="24"/>
          <w:szCs w:val="24"/>
        </w:rPr>
        <w:t>,</w:t>
      </w:r>
      <w:r>
        <w:rPr>
          <w:rFonts w:ascii="Times New Roman" w:hAnsi="Times New Roman" w:cs="Times New Roman"/>
          <w:sz w:val="24"/>
          <w:szCs w:val="24"/>
        </w:rPr>
        <w:t xml:space="preserve"> alături de familia standard întemeiată în baza căsătoriei</w:t>
      </w:r>
      <w:r w:rsidR="00DC108B">
        <w:rPr>
          <w:rFonts w:ascii="Times New Roman" w:hAnsi="Times New Roman" w:cs="Times New Roman"/>
          <w:sz w:val="24"/>
          <w:szCs w:val="24"/>
        </w:rPr>
        <w:t>,</w:t>
      </w:r>
      <w:r>
        <w:rPr>
          <w:rFonts w:ascii="Times New Roman" w:hAnsi="Times New Roman" w:cs="Times New Roman"/>
          <w:sz w:val="24"/>
          <w:szCs w:val="24"/>
        </w:rPr>
        <w:t xml:space="preserve"> şi alte tipuri de familii. Acestea din urmă sunt destul de întâlnite, deşi sunt nerecunoscute şi neînregistrate legal. Faţă de anul 1990, există schimbări majore în comportamentele populaţiei referitoare la cuplu, viață sexuală, căsătorie: românii se căsătoresc mai puţin frecvent şi mai târziu, au tot mai puţini copii, la vârste mai înaintate, trăiesc în gospodării mai restrânse şi nu întotdeauna de tip familial. Astfel,  nașterile în afara căsătoriei reprezentau 31,2% din total în anul 2014, față de 17% în 1993. În ceea ce priveşte </w:t>
      </w:r>
      <w:r>
        <w:rPr>
          <w:rFonts w:ascii="Times New Roman" w:hAnsi="Times New Roman" w:cs="Times New Roman"/>
          <w:b/>
          <w:sz w:val="24"/>
          <w:szCs w:val="24"/>
        </w:rPr>
        <w:t xml:space="preserve">românii care trăiesc în </w:t>
      </w:r>
      <w:r w:rsidR="009A682A">
        <w:rPr>
          <w:rFonts w:ascii="Times New Roman" w:hAnsi="Times New Roman" w:cs="Times New Roman"/>
          <w:b/>
          <w:sz w:val="24"/>
          <w:szCs w:val="24"/>
        </w:rPr>
        <w:t>parteneriat</w:t>
      </w:r>
      <w:r>
        <w:rPr>
          <w:rFonts w:ascii="Times New Roman" w:hAnsi="Times New Roman" w:cs="Times New Roman"/>
          <w:b/>
          <w:sz w:val="24"/>
          <w:szCs w:val="24"/>
        </w:rPr>
        <w:t xml:space="preserve"> neînregistrat, aceştia reprezintă un procent constant din populaţie începând de la Recensământul din anul 2002 până în prezent - 3,5% din populaţie. Mai mult, anchetele sociologice estimează ponderi cel puţin duble ale acestora (între 7-10%).</w:t>
      </w:r>
      <w:r>
        <w:rPr>
          <w:rFonts w:ascii="Times New Roman" w:hAnsi="Times New Roman" w:cs="Times New Roman"/>
          <w:sz w:val="24"/>
          <w:szCs w:val="24"/>
        </w:rPr>
        <w:t xml:space="preserve"> Dată fiind absența recunoașterii legale pentru </w:t>
      </w:r>
      <w:r w:rsidR="009A682A" w:rsidRPr="009A682A">
        <w:rPr>
          <w:rFonts w:ascii="Times New Roman" w:hAnsi="Times New Roman" w:cs="Times New Roman"/>
          <w:sz w:val="24"/>
          <w:szCs w:val="24"/>
        </w:rPr>
        <w:t>parteneriat</w:t>
      </w:r>
      <w:r w:rsidR="009A682A">
        <w:rPr>
          <w:rFonts w:ascii="Times New Roman" w:hAnsi="Times New Roman" w:cs="Times New Roman"/>
          <w:sz w:val="24"/>
          <w:szCs w:val="24"/>
        </w:rPr>
        <w:t>ul</w:t>
      </w:r>
      <w:r w:rsidR="009A682A" w:rsidRPr="009A682A">
        <w:rPr>
          <w:rFonts w:ascii="Times New Roman" w:hAnsi="Times New Roman" w:cs="Times New Roman"/>
          <w:sz w:val="24"/>
          <w:szCs w:val="24"/>
        </w:rPr>
        <w:t xml:space="preserve"> civil</w:t>
      </w:r>
      <w:r w:rsidR="009A682A">
        <w:rPr>
          <w:rFonts w:ascii="Times New Roman" w:hAnsi="Times New Roman" w:cs="Times New Roman"/>
          <w:sz w:val="24"/>
          <w:szCs w:val="24"/>
        </w:rPr>
        <w:t xml:space="preserve"> </w:t>
      </w:r>
      <w:r>
        <w:rPr>
          <w:rFonts w:ascii="Times New Roman" w:hAnsi="Times New Roman" w:cs="Times New Roman"/>
          <w:sz w:val="24"/>
          <w:szCs w:val="24"/>
        </w:rPr>
        <w:t>precum și stigma pe care de obicei societatea o proiecteză asupra concubinajului, datele raportate ar trebui luate în considerare ca un prag minim.</w:t>
      </w:r>
    </w:p>
    <w:p w:rsidR="00176B0B" w:rsidRDefault="00176B0B">
      <w:pPr>
        <w:pStyle w:val="Standard"/>
        <w:spacing w:after="0" w:line="360" w:lineRule="auto"/>
        <w:jc w:val="both"/>
        <w:rPr>
          <w:rFonts w:ascii="Times New Roman" w:hAnsi="Times New Roman" w:cs="Times New Roman"/>
          <w:sz w:val="24"/>
          <w:szCs w:val="24"/>
        </w:rPr>
      </w:pPr>
    </w:p>
    <w:p w:rsidR="00176B0B" w:rsidRDefault="00324358">
      <w:pPr>
        <w:pStyle w:val="Standard"/>
        <w:spacing w:after="0" w:line="360" w:lineRule="auto"/>
        <w:jc w:val="both"/>
      </w:pPr>
      <w:r>
        <w:rPr>
          <w:rFonts w:ascii="Times New Roman" w:hAnsi="Times New Roman" w:cs="Times New Roman"/>
          <w:sz w:val="24"/>
          <w:szCs w:val="24"/>
          <w:lang w:val="ro-RO"/>
        </w:rPr>
        <w:t xml:space="preserve">Alegerea partenerului, forma în care relaţia de cuplu se desfăşoară sau alte acţiuni şi relaţii determinate de acesta, relaţiile afective, intime sau de familie existente în cadrul unui cuplu sunt </w:t>
      </w:r>
      <w:r>
        <w:rPr>
          <w:rFonts w:ascii="Times New Roman" w:hAnsi="Times New Roman" w:cs="Times New Roman"/>
          <w:sz w:val="24"/>
          <w:szCs w:val="24"/>
          <w:lang w:val="ro-RO"/>
        </w:rPr>
        <w:lastRenderedPageBreak/>
        <w:t xml:space="preserve">toate aspecte care sunt subsumate conţinutului vieţii intime, familiale şi private. În conformitate cu Constituţia României, </w:t>
      </w:r>
      <w:r>
        <w:rPr>
          <w:rFonts w:ascii="Times New Roman" w:hAnsi="Times New Roman" w:cs="Times New Roman"/>
          <w:b/>
          <w:sz w:val="24"/>
          <w:szCs w:val="24"/>
          <w:lang w:val="ro-RO"/>
        </w:rPr>
        <w:t>individul este liber să dispună de el însuşi cu privire la aceste aspecte ale dreptului la viaţă intimă, familială privată, atâta timp cât nu încalcă drepturile şi libertăţile altora, ordinea publică sau bunele moravuri.</w:t>
      </w:r>
      <w:r>
        <w:rPr>
          <w:rFonts w:ascii="Times New Roman" w:hAnsi="Times New Roman" w:cs="Times New Roman"/>
          <w:sz w:val="24"/>
          <w:szCs w:val="24"/>
          <w:lang w:val="ro-RO"/>
        </w:rPr>
        <w:t xml:space="preserve"> Statul, prin autorităţile publice, respectă şi ocroteşte indivizii în exercitarea acestui drept. Aceasta implică, în primul rând, ca Statul să adopte cadrul legislativ în care acest drept să fie exercitat inclusiv de familiile de facto.</w:t>
      </w:r>
    </w:p>
    <w:p w:rsidR="00176B0B" w:rsidRDefault="00176B0B">
      <w:pPr>
        <w:pStyle w:val="Standard"/>
        <w:spacing w:after="0" w:line="360" w:lineRule="auto"/>
        <w:jc w:val="both"/>
        <w:rPr>
          <w:rFonts w:ascii="Times New Roman" w:hAnsi="Times New Roman" w:cs="Times New Roman"/>
          <w:sz w:val="24"/>
          <w:szCs w:val="24"/>
          <w:lang w:val="ro-RO"/>
        </w:rPr>
      </w:pPr>
    </w:p>
    <w:p w:rsidR="00176B0B" w:rsidRDefault="00324358">
      <w:pPr>
        <w:pStyle w:val="Standard"/>
        <w:spacing w:after="0" w:line="360" w:lineRule="auto"/>
        <w:jc w:val="both"/>
      </w:pPr>
      <w:r>
        <w:rPr>
          <w:rFonts w:ascii="Times New Roman" w:hAnsi="Times New Roman" w:cs="Times New Roman"/>
          <w:sz w:val="24"/>
          <w:szCs w:val="24"/>
        </w:rPr>
        <w:t>Relaţiile de cuplu consensuale</w:t>
      </w:r>
      <w:r w:rsidR="002369B9">
        <w:rPr>
          <w:rFonts w:ascii="Times New Roman" w:hAnsi="Times New Roman" w:cs="Times New Roman"/>
          <w:sz w:val="24"/>
          <w:szCs w:val="24"/>
        </w:rPr>
        <w:t>, protejate prin parteneriat civil,</w:t>
      </w:r>
      <w:r>
        <w:rPr>
          <w:rFonts w:ascii="Times New Roman" w:hAnsi="Times New Roman" w:cs="Times New Roman"/>
          <w:sz w:val="24"/>
          <w:szCs w:val="24"/>
        </w:rPr>
        <w:t xml:space="preserve"> sunt o realitate de fapt recunoscută juridic în legislaţia majorităţii statelor membre ale Uniunii Europene: Andora, Austria, Belgia, Croaţia, Republica Cehă, Danemarca, Elveţia, Estonia, Finlanda, Franţa, Germania, Islanda, Irlanda, Luxemburg, Marea Britanie, Olanda, Norvegia, Portugalia, Slovenia, Spania, Sued</w:t>
      </w:r>
      <w:r w:rsidR="00512C02">
        <w:rPr>
          <w:rFonts w:ascii="Times New Roman" w:hAnsi="Times New Roman" w:cs="Times New Roman"/>
          <w:sz w:val="24"/>
          <w:szCs w:val="24"/>
        </w:rPr>
        <w:t>ia</w:t>
      </w:r>
      <w:r>
        <w:rPr>
          <w:rFonts w:ascii="Times New Roman" w:hAnsi="Times New Roman" w:cs="Times New Roman"/>
          <w:sz w:val="24"/>
          <w:szCs w:val="24"/>
        </w:rPr>
        <w:t>, Ungaria. De altfel, ca răspuns la tendinţele europene, este de remarcat că Directiva 2004/38/EC (OJ L158/77) privind dreptul cetăţenilor Uniunii şi al familiilor lor de a se muta şi de a îşi stabili reşedinţa în mod liber pe teritoriul statelor membre,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include o definiţie largă a conceptului de “familie” care include explicit parteneriatul înregistrat.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După aderarea României la Uniunea Europeană, respectarea dreptului la liberă circulaţie implică respectarea acestei realităţi juridice în mod egal pentru toţi cetăţenii europeni, inclusiv pentru cetăţenii români. </w:t>
      </w:r>
    </w:p>
    <w:p w:rsidR="00176B0B" w:rsidRDefault="00176B0B">
      <w:pPr>
        <w:pStyle w:val="Standard"/>
        <w:spacing w:after="0" w:line="360" w:lineRule="auto"/>
        <w:jc w:val="both"/>
        <w:rPr>
          <w:rFonts w:ascii="Times New Roman" w:hAnsi="Times New Roman" w:cs="Times New Roman"/>
          <w:sz w:val="24"/>
          <w:szCs w:val="24"/>
          <w:lang w:val="ro-RO"/>
        </w:rPr>
      </w:pPr>
    </w:p>
    <w:p w:rsidR="00176B0B" w:rsidRDefault="00324358">
      <w:pPr>
        <w:pStyle w:val="Standard"/>
        <w:spacing w:after="0" w:line="360" w:lineRule="auto"/>
        <w:jc w:val="both"/>
      </w:pPr>
      <w:r>
        <w:rPr>
          <w:rFonts w:ascii="Times New Roman" w:hAnsi="Times New Roman" w:cs="Times New Roman"/>
          <w:sz w:val="24"/>
          <w:szCs w:val="24"/>
          <w:lang w:val="ro-RO"/>
        </w:rPr>
        <w:t>Obligaţia pozitivă a statului de a respecta şi proteja dreptul la viaţă de familie implică</w:t>
      </w:r>
      <w:r>
        <w:rPr>
          <w:rFonts w:ascii="Times New Roman" w:hAnsi="Times New Roman" w:cs="Times New Roman"/>
          <w:sz w:val="24"/>
          <w:szCs w:val="24"/>
        </w:rPr>
        <w:t xml:space="preserve"> obligația de a respecta și de a proteja diversitatea tuturor formelor de familii, inclusiv a acelor familii formate din persoane de acelaşi sex. Acesta este un standard ONU,</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dar şi un standard stabilit de CEDO în jurisprudența sa. Astfel, Curtea Europeană a Drepturilor Omului a statuat că definiţia legală a familiei trebuie să fie inclusivă, nu discriminatorie sau nejustificat de restrictivă. În cauza </w:t>
      </w:r>
      <w:r>
        <w:rPr>
          <w:rFonts w:ascii="Times New Roman" w:hAnsi="Times New Roman" w:cs="Times New Roman"/>
          <w:i/>
          <w:sz w:val="24"/>
          <w:szCs w:val="24"/>
        </w:rPr>
        <w:t>X, Y şi Z c. Marii Britanii</w:t>
      </w:r>
      <w:r>
        <w:rPr>
          <w:rFonts w:ascii="Times New Roman" w:hAnsi="Times New Roman" w:cs="Times New Roman"/>
          <w:sz w:val="24"/>
          <w:szCs w:val="24"/>
        </w:rPr>
        <w:t xml:space="preserve">, Curtea a decis că “noţiunea de ”viaţă de familie” din articolul 8 </w:t>
      </w:r>
      <w:r>
        <w:rPr>
          <w:rFonts w:ascii="Times New Roman" w:hAnsi="Times New Roman" w:cs="Times New Roman"/>
          <w:sz w:val="24"/>
          <w:szCs w:val="24"/>
        </w:rPr>
        <w:lastRenderedPageBreak/>
        <w:t xml:space="preserve">nu se limitează numai la familii întemeiate pe căsătorie şi include şi alte relaţii </w:t>
      </w:r>
      <w:r>
        <w:rPr>
          <w:rFonts w:ascii="Times New Roman" w:hAnsi="Times New Roman" w:cs="Times New Roman"/>
          <w:i/>
          <w:sz w:val="24"/>
          <w:szCs w:val="24"/>
        </w:rPr>
        <w:t>de facto.</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În cauza </w:t>
      </w:r>
      <w:r>
        <w:rPr>
          <w:rFonts w:ascii="Times New Roman" w:hAnsi="Times New Roman" w:cs="Times New Roman"/>
          <w:i/>
          <w:sz w:val="24"/>
          <w:szCs w:val="24"/>
          <w:lang w:val="ro-RO"/>
        </w:rPr>
        <w:t>Schalk și Kopf c. Austriei</w:t>
      </w:r>
      <w:r w:rsidR="00512C02">
        <w:rPr>
          <w:rFonts w:ascii="Times New Roman" w:hAnsi="Times New Roman" w:cs="Times New Roman"/>
          <w:sz w:val="24"/>
          <w:szCs w:val="24"/>
          <w:lang w:val="ro-RO"/>
        </w:rPr>
        <w:t>, C</w:t>
      </w:r>
      <w:r>
        <w:rPr>
          <w:rFonts w:ascii="Times New Roman" w:hAnsi="Times New Roman" w:cs="Times New Roman"/>
          <w:sz w:val="24"/>
          <w:szCs w:val="24"/>
          <w:lang w:val="ro-RO"/>
        </w:rPr>
        <w:t>EDO a statuat în mod expres faptul că viața în cuplu de același sex constituie viață de familie și se bucură de protecția garantată în baza articolului 8 din Convenție.</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În cauza </w:t>
      </w:r>
      <w:r>
        <w:rPr>
          <w:rFonts w:ascii="Times New Roman" w:hAnsi="Times New Roman" w:cs="Times New Roman"/>
          <w:i/>
          <w:sz w:val="24"/>
          <w:szCs w:val="24"/>
          <w:lang w:val="ro-RO"/>
        </w:rPr>
        <w:t>Oliari şi alții c. Italiei</w:t>
      </w:r>
      <w:r w:rsidR="00512C02">
        <w:rPr>
          <w:rFonts w:ascii="Times New Roman" w:hAnsi="Times New Roman" w:cs="Times New Roman"/>
          <w:sz w:val="24"/>
          <w:szCs w:val="24"/>
          <w:lang w:val="ro-RO"/>
        </w:rPr>
        <w:t>, C</w:t>
      </w:r>
      <w:r>
        <w:rPr>
          <w:rFonts w:ascii="Times New Roman" w:hAnsi="Times New Roman" w:cs="Times New Roman"/>
          <w:sz w:val="24"/>
          <w:szCs w:val="24"/>
          <w:lang w:val="ro-RO"/>
        </w:rPr>
        <w:t>EDO a consacrat obligaţia pozitivă a statelor de a proteja dreptul la viaţă de familie care se manifestă în cazul coabitării între persoanele de același sex.</w:t>
      </w:r>
      <w:r>
        <w:rPr>
          <w:rStyle w:val="FootnoteReference"/>
          <w:rFonts w:ascii="Times New Roman" w:hAnsi="Times New Roman" w:cs="Times New Roman"/>
          <w:sz w:val="24"/>
          <w:szCs w:val="24"/>
        </w:rPr>
        <w:footnoteReference w:id="4"/>
      </w:r>
    </w:p>
    <w:p w:rsidR="00176B0B" w:rsidRDefault="00176B0B">
      <w:pPr>
        <w:pStyle w:val="Standard"/>
        <w:spacing w:after="0" w:line="360" w:lineRule="auto"/>
        <w:jc w:val="both"/>
        <w:rPr>
          <w:rFonts w:ascii="Times New Roman" w:hAnsi="Times New Roman" w:cs="Times New Roman"/>
          <w:sz w:val="24"/>
          <w:szCs w:val="24"/>
        </w:rPr>
      </w:pPr>
    </w:p>
    <w:p w:rsidR="00176B0B" w:rsidRDefault="0032435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Protecţia copiilor născuţi în cadrul </w:t>
      </w:r>
      <w:r w:rsidR="009A682A">
        <w:rPr>
          <w:rFonts w:ascii="Times New Roman" w:hAnsi="Times New Roman" w:cs="Times New Roman"/>
          <w:sz w:val="24"/>
          <w:szCs w:val="24"/>
        </w:rPr>
        <w:t>unui parteneriat civil</w:t>
      </w:r>
      <w:r>
        <w:rPr>
          <w:rFonts w:ascii="Times New Roman" w:hAnsi="Times New Roman" w:cs="Times New Roman"/>
          <w:sz w:val="24"/>
          <w:szCs w:val="24"/>
        </w:rPr>
        <w:t xml:space="preserve"> formate între persoane de sex diferit este necesară pentru respectarea drepturilor lor. În acest sens, Comitetul ONU pentru Drepturile Copilului a stabilit că noţiunea de “mediu familial” reflectă “diverse structuri familiale care derivă din sisteme culturale diferite şi din relaţii familiale evolutive” şi “se referă la diverse tipuri de familii, ca de exemplu familiile extinse, şi este aplicabilă într-o diversitate de familii, printre care şi familia nucleară, familia reconstituită, familia compozită, familia monoparentală, familia de drept comun şi familia adoptivă.”</w:t>
      </w:r>
    </w:p>
    <w:p w:rsidR="00176B0B" w:rsidRDefault="00176B0B">
      <w:pPr>
        <w:pStyle w:val="Standard"/>
        <w:spacing w:after="0" w:line="360" w:lineRule="auto"/>
        <w:jc w:val="both"/>
        <w:rPr>
          <w:rFonts w:ascii="Times New Roman" w:hAnsi="Times New Roman" w:cs="Times New Roman"/>
          <w:sz w:val="24"/>
          <w:szCs w:val="24"/>
        </w:rPr>
      </w:pPr>
    </w:p>
    <w:p w:rsidR="00176B0B" w:rsidRDefault="00324358">
      <w:pPr>
        <w:pStyle w:val="Standard"/>
        <w:spacing w:after="0" w:line="360" w:lineRule="auto"/>
        <w:jc w:val="both"/>
      </w:pPr>
      <w:r>
        <w:rPr>
          <w:rFonts w:ascii="Times New Roman" w:eastAsia="Times New Roman" w:hAnsi="Times New Roman" w:cs="Times New Roman"/>
          <w:color w:val="000000"/>
          <w:sz w:val="24"/>
          <w:szCs w:val="24"/>
        </w:rPr>
        <w:t xml:space="preserve">Concluziile </w:t>
      </w:r>
      <w:r>
        <w:rPr>
          <w:rFonts w:ascii="Times New Roman" w:eastAsia="Times New Roman" w:hAnsi="Times New Roman" w:cs="Times New Roman"/>
          <w:b/>
          <w:color w:val="000000"/>
          <w:sz w:val="24"/>
          <w:szCs w:val="24"/>
        </w:rPr>
        <w:t>Avocatului General Whatelet</w:t>
      </w:r>
      <w:r>
        <w:rPr>
          <w:rFonts w:ascii="Times New Roman" w:eastAsia="Times New Roman" w:hAnsi="Times New Roman" w:cs="Times New Roman"/>
          <w:color w:val="000000"/>
          <w:sz w:val="24"/>
          <w:szCs w:val="24"/>
        </w:rPr>
        <w:t xml:space="preserve"> prezentate la 11 ianuarie 2018 în </w:t>
      </w:r>
      <w:r>
        <w:rPr>
          <w:rFonts w:ascii="Times New Roman" w:eastAsia="Times New Roman" w:hAnsi="Times New Roman" w:cs="Times New Roman"/>
          <w:bCs/>
          <w:i/>
          <w:color w:val="000000"/>
          <w:sz w:val="24"/>
          <w:szCs w:val="24"/>
        </w:rPr>
        <w:t>Cauza C673/16, Relu Adrian Coman, Robert Clabourn Hamilton, Asociația Accept împotriva Inspectoratului General pentru Imigrări, Ministerului Afacerilor Interne, Consiliului Național pentru Combaterea Discriminării,</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cerere de decizie preliminară formulată de Curtea Constituțională a României, precizează explicit:</w:t>
      </w:r>
    </w:p>
    <w:p w:rsidR="00176B0B" w:rsidRDefault="00324358">
      <w:pPr>
        <w:pStyle w:val="Standard"/>
        <w:spacing w:after="0" w:line="360" w:lineRule="auto"/>
        <w:ind w:left="567"/>
        <w:jc w:val="both"/>
      </w:pPr>
      <w:bookmarkStart w:id="1" w:name="point99"/>
      <w:r>
        <w:rPr>
          <w:rFonts w:ascii="Times New Roman" w:eastAsia="Times New Roman" w:hAnsi="Times New Roman" w:cs="Times New Roman"/>
          <w:color w:val="000000"/>
          <w:sz w:val="24"/>
          <w:szCs w:val="24"/>
        </w:rPr>
        <w:t>”99.</w:t>
      </w:r>
      <w:bookmarkEnd w:id="1"/>
      <w:r>
        <w:rPr>
          <w:rFonts w:ascii="Times New Roman" w:eastAsia="Times New Roman" w:hAnsi="Times New Roman" w:cs="Times New Roman"/>
          <w:color w:val="000000"/>
          <w:sz w:val="24"/>
          <w:szCs w:val="24"/>
        </w:rPr>
        <w:t xml:space="preserve">      Pe de altă parte, obligația de a favoriza intrarea și șederea resortisantului unui stat terț, de același sex ca și cetățeanul Uniunii cu care este căsătorit este și mai imperativă, iar marja de apreciere este redusă atunci când statul membru nu permite căsătoria între persoane de același sex și nu oferă cuplurilor homosexuale nici posibilitatea de a încheia un parteneriat înregistrat. Astfel, </w:t>
      </w:r>
      <w:r>
        <w:rPr>
          <w:rFonts w:ascii="Times New Roman" w:eastAsia="Times New Roman" w:hAnsi="Times New Roman" w:cs="Times New Roman"/>
          <w:b/>
          <w:color w:val="000000"/>
          <w:sz w:val="24"/>
          <w:szCs w:val="24"/>
        </w:rPr>
        <w:t>din articolul 8 din CEDO – ș</w:t>
      </w:r>
      <w:r w:rsidR="00512C02">
        <w:rPr>
          <w:rFonts w:ascii="Times New Roman" w:eastAsia="Times New Roman" w:hAnsi="Times New Roman" w:cs="Times New Roman"/>
          <w:b/>
          <w:color w:val="000000"/>
          <w:sz w:val="24"/>
          <w:szCs w:val="24"/>
        </w:rPr>
        <w:t>i, așadar, din articolul 7 din C</w:t>
      </w:r>
      <w:r>
        <w:rPr>
          <w:rFonts w:ascii="Times New Roman" w:eastAsia="Times New Roman" w:hAnsi="Times New Roman" w:cs="Times New Roman"/>
          <w:b/>
          <w:color w:val="000000"/>
          <w:sz w:val="24"/>
          <w:szCs w:val="24"/>
        </w:rPr>
        <w:t>artă – decurge o obligație pozitivă de a oferi acestor persoane, ca și heterosexualilor, posibilitatea de a obține o recunoaștere legală și protecția juridică a cuplului lor (</w:t>
      </w:r>
      <w:bookmarkStart w:id="2" w:name="Footref75"/>
      <w:r>
        <w:fldChar w:fldCharType="begin"/>
      </w:r>
      <w:r>
        <w:instrText xml:space="preserve"> HYPERLINK  "#Footnote75" </w:instrText>
      </w:r>
      <w:r>
        <w:fldChar w:fldCharType="separate"/>
      </w:r>
      <w:r>
        <w:rPr>
          <w:rFonts w:ascii="Times New Roman" w:eastAsia="Times New Roman" w:hAnsi="Times New Roman" w:cs="Times New Roman"/>
          <w:color w:val="0000FF"/>
          <w:sz w:val="24"/>
          <w:szCs w:val="24"/>
          <w:u w:val="single"/>
        </w:rPr>
        <w:t>75</w:t>
      </w:r>
      <w:r>
        <w:rPr>
          <w:rFonts w:ascii="Times New Roman" w:eastAsia="Times New Roman" w:hAnsi="Times New Roman" w:cs="Times New Roman"/>
          <w:color w:val="0000FF"/>
          <w:sz w:val="24"/>
          <w:szCs w:val="24"/>
          <w:u w:val="single"/>
        </w:rPr>
        <w:fldChar w:fldCharType="end"/>
      </w:r>
      <w:bookmarkEnd w:id="2"/>
      <w:r>
        <w:rPr>
          <w:rFonts w:ascii="Times New Roman" w:eastAsia="Times New Roman" w:hAnsi="Times New Roman" w:cs="Times New Roman"/>
          <w:color w:val="000000"/>
          <w:sz w:val="24"/>
          <w:szCs w:val="24"/>
        </w:rPr>
        <w:t>). Or, acordarea unui permis de ședere soțului unui cetățean al Uniunii constituie recunoașterea și garanția minimă care le poate fi oferită.”</w:t>
      </w:r>
    </w:p>
    <w:p w:rsidR="00176B0B" w:rsidRDefault="00176B0B">
      <w:pPr>
        <w:pStyle w:val="Standard"/>
        <w:spacing w:after="0" w:line="360" w:lineRule="auto"/>
        <w:jc w:val="both"/>
        <w:rPr>
          <w:rFonts w:ascii="Times New Roman" w:hAnsi="Times New Roman" w:cs="Times New Roman"/>
          <w:sz w:val="24"/>
          <w:szCs w:val="24"/>
        </w:rPr>
      </w:pPr>
    </w:p>
    <w:p w:rsidR="00176B0B" w:rsidRDefault="00324358">
      <w:pPr>
        <w:pStyle w:val="Standard"/>
        <w:spacing w:after="0" w:line="360" w:lineRule="auto"/>
        <w:jc w:val="both"/>
      </w:pPr>
      <w:r>
        <w:rPr>
          <w:rFonts w:ascii="Times New Roman" w:hAnsi="Times New Roman" w:cs="Times New Roman"/>
          <w:sz w:val="24"/>
          <w:szCs w:val="24"/>
        </w:rPr>
        <w:t>În contextul audierilor care au avut loc în fața Marii Camere a Curții de Justiție a Uniunii Europene,</w:t>
      </w:r>
      <w:r>
        <w:rPr>
          <w:rFonts w:ascii="Times New Roman" w:hAnsi="Times New Roman" w:cs="Times New Roman"/>
          <w:color w:val="222222"/>
          <w:sz w:val="24"/>
          <w:szCs w:val="24"/>
        </w:rPr>
        <w:t xml:space="preserve"> în cauza C-673/2016, Biroul Regional pentru Europa al </w:t>
      </w:r>
      <w:r>
        <w:rPr>
          <w:rFonts w:ascii="Times New Roman" w:hAnsi="Times New Roman" w:cs="Times New Roman"/>
          <w:b/>
          <w:color w:val="222222"/>
          <w:sz w:val="24"/>
          <w:szCs w:val="24"/>
        </w:rPr>
        <w:t>Înaltului Comisar ONU pentru</w:t>
      </w:r>
      <w:hyperlink r:id="rId8" w:history="1">
        <w:r>
          <w:rPr>
            <w:rFonts w:ascii="Times New Roman" w:hAnsi="Times New Roman" w:cs="Times New Roman"/>
            <w:b/>
            <w:color w:val="0066CC"/>
            <w:sz w:val="24"/>
            <w:szCs w:val="24"/>
          </w:rPr>
          <w:t> </w:t>
        </w:r>
      </w:hyperlink>
      <w:r>
        <w:rPr>
          <w:rFonts w:ascii="Times New Roman" w:hAnsi="Times New Roman" w:cs="Times New Roman"/>
          <w:b/>
          <w:sz w:val="24"/>
          <w:szCs w:val="24"/>
        </w:rPr>
        <w:t xml:space="preserve">Drepturile Omului </w:t>
      </w:r>
      <w:r>
        <w:rPr>
          <w:rFonts w:ascii="Times New Roman" w:hAnsi="Times New Roman" w:cs="Times New Roman"/>
          <w:sz w:val="24"/>
          <w:szCs w:val="24"/>
        </w:rPr>
        <w:t>a publicat un memoriu de susținere a poziției formulate de petenții Adrian Coman, Clai Hamilton și Asociația ACCEPT.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În acest document Biroul Înaltului Comisar ONU pentru D</w:t>
      </w:r>
      <w:r w:rsidR="002E4F76">
        <w:rPr>
          <w:rFonts w:ascii="Times New Roman" w:hAnsi="Times New Roman" w:cs="Times New Roman"/>
          <w:sz w:val="24"/>
          <w:szCs w:val="24"/>
        </w:rPr>
        <w:t>repturile Omului subliniază că „</w:t>
      </w:r>
      <w:r>
        <w:rPr>
          <w:rFonts w:ascii="Times New Roman" w:hAnsi="Times New Roman" w:cs="Times New Roman"/>
          <w:sz w:val="24"/>
          <w:szCs w:val="24"/>
        </w:rPr>
        <w:t>absența recunoașterii legale a relațiilor dintre persoanele de același sex și absența prohibiției legale de discriminare a acestora permite ca entități publice sau persoane private, inclusiv prestatori de servicii de sănătate sau companii de asigurări să trateze în mod nedrept pe partenerii de același sex și pe copii lor. ” Este subliniată în acest context recomandarea ca statele să ia măsuri împotriva discriminării ”prin asigurarea recunoașterii juridice pentru cuplurile de același sex și copii lor, garantând că beneficiile care sunt în mod traditional acordate cuplurilor căsătorite – inclusiv cele privind beneficiile, pensile și taxarea și moștenirea – sunt asigurate fără discriminare.”</w:t>
      </w:r>
      <w:r>
        <w:rPr>
          <w:rStyle w:val="FootnoteReference"/>
          <w:rFonts w:ascii="Times New Roman" w:hAnsi="Times New Roman" w:cs="Times New Roman"/>
          <w:sz w:val="24"/>
          <w:szCs w:val="24"/>
        </w:rPr>
        <w:footnoteReference w:id="6"/>
      </w:r>
      <w:r w:rsidR="00335DE2">
        <w:rPr>
          <w:rFonts w:ascii="Times New Roman" w:hAnsi="Times New Roman" w:cs="Times New Roman"/>
          <w:sz w:val="24"/>
          <w:szCs w:val="24"/>
        </w:rPr>
        <w:t xml:space="preserve"> Memoriul continua arătând că „</w:t>
      </w:r>
      <w:r>
        <w:rPr>
          <w:rFonts w:ascii="Times New Roman" w:hAnsi="Times New Roman" w:cs="Times New Roman"/>
          <w:sz w:val="24"/>
          <w:szCs w:val="24"/>
        </w:rPr>
        <w:t>recunoașterea legală a relațiilor din cadrul unui cuplu de același sex poate lua forme diferite, de la uniuni civile și parteneriate civile la căsătorie. Statul este cel care e competent să stabilească fo</w:t>
      </w:r>
      <w:r w:rsidR="00512C02">
        <w:rPr>
          <w:rFonts w:ascii="Times New Roman" w:hAnsi="Times New Roman" w:cs="Times New Roman"/>
          <w:sz w:val="24"/>
          <w:szCs w:val="24"/>
        </w:rPr>
        <w:t>rma de recunoaștere, dar, indif</w:t>
      </w:r>
      <w:r>
        <w:rPr>
          <w:rFonts w:ascii="Times New Roman" w:hAnsi="Times New Roman" w:cs="Times New Roman"/>
          <w:sz w:val="24"/>
          <w:szCs w:val="24"/>
        </w:rPr>
        <w:t>erent de forma aleasă, nu trebuie să existe diferențe de tratament între cuplurile de același sex și cuplurile de sex diferit.”</w:t>
      </w:r>
    </w:p>
    <w:p w:rsidR="00176B0B" w:rsidRDefault="00176B0B">
      <w:pPr>
        <w:pStyle w:val="Standard"/>
        <w:spacing w:after="0" w:line="360" w:lineRule="auto"/>
        <w:jc w:val="both"/>
        <w:rPr>
          <w:rFonts w:ascii="Times New Roman" w:hAnsi="Times New Roman" w:cs="Times New Roman"/>
          <w:sz w:val="24"/>
          <w:szCs w:val="24"/>
        </w:rPr>
      </w:pPr>
    </w:p>
    <w:p w:rsidR="009A682A" w:rsidRDefault="00324358" w:rsidP="003F4D5D">
      <w:pPr>
        <w:pStyle w:val="Textbody"/>
        <w:spacing w:after="0" w:line="360" w:lineRule="auto"/>
        <w:jc w:val="both"/>
        <w:rPr>
          <w:lang w:val="ro-RO"/>
        </w:rPr>
      </w:pPr>
      <w:r>
        <w:rPr>
          <w:bCs/>
          <w:lang w:val="ro-RO"/>
        </w:rPr>
        <w:t>Constituţia României</w:t>
      </w:r>
      <w:r>
        <w:rPr>
          <w:lang w:val="ro-RO"/>
        </w:rPr>
        <w:t xml:space="preserve"> oferă temeiurile juridice pentru a stabili un regim juridic de recunoaştere a </w:t>
      </w:r>
      <w:r w:rsidR="009A682A">
        <w:rPr>
          <w:lang w:val="ro-RO"/>
        </w:rPr>
        <w:t>parteneriatului civil</w:t>
      </w:r>
      <w:r>
        <w:rPr>
          <w:lang w:val="ro-RO"/>
        </w:rPr>
        <w:t xml:space="preserve">. Astfel, legea fundamentală consacră dreptul la viaţă intimă, familială şi privată (art.26) şi dreptul la căsătorie (art.48), fără a face o diferenţiere expresă între cuplurile care aleg să coabiteze în formula tradiţională a căsătoriei şi cele care aleg soluţia alternativă a conviențuirii </w:t>
      </w:r>
      <w:r w:rsidR="009A682A">
        <w:rPr>
          <w:lang w:val="ro-RO"/>
        </w:rPr>
        <w:t xml:space="preserve">în </w:t>
      </w:r>
      <w:r w:rsidR="009A682A" w:rsidRPr="009A682A">
        <w:t>parteneriat civil</w:t>
      </w:r>
      <w:r>
        <w:rPr>
          <w:lang w:val="ro-RO"/>
        </w:rPr>
        <w:t xml:space="preserve">. </w:t>
      </w:r>
      <w:r w:rsidR="009A682A">
        <w:rPr>
          <w:lang w:val="ro-RO"/>
        </w:rPr>
        <w:t>Mai mult, Curtea Constituțională a României explică</w:t>
      </w:r>
      <w:r w:rsidR="003F4D5D">
        <w:rPr>
          <w:lang w:val="ro-RO"/>
        </w:rPr>
        <w:t xml:space="preserve"> faptul că relația stabilă și durabilă pe care două persoane de același sex o au intră în sfera noțiunii de viață de familie și întărește faptul că aceste persoane au dreptul la protecția legală și juridică a familiei lor. Î</w:t>
      </w:r>
      <w:r w:rsidR="009A682A">
        <w:rPr>
          <w:lang w:val="ro-RO"/>
        </w:rPr>
        <w:t xml:space="preserve">n paragraful 41 al Deciziei </w:t>
      </w:r>
      <w:r w:rsidR="009A682A" w:rsidRPr="009A682A">
        <w:rPr>
          <w:lang w:val="ro-RO"/>
        </w:rPr>
        <w:t>Nr.534</w:t>
      </w:r>
      <w:r w:rsidR="009A682A">
        <w:rPr>
          <w:lang w:val="ro-RO"/>
        </w:rPr>
        <w:t xml:space="preserve"> </w:t>
      </w:r>
      <w:r w:rsidR="009A682A" w:rsidRPr="009A682A">
        <w:rPr>
          <w:lang w:val="ro-RO"/>
        </w:rPr>
        <w:t>din 18 iulie 2018</w:t>
      </w:r>
      <w:r w:rsidR="009A682A">
        <w:rPr>
          <w:lang w:val="ro-RO"/>
        </w:rPr>
        <w:t xml:space="preserve">, </w:t>
      </w:r>
      <w:r w:rsidR="009A682A" w:rsidRPr="009A682A">
        <w:rPr>
          <w:lang w:val="ro-RO"/>
        </w:rPr>
        <w:t xml:space="preserve">referitoare la excepția de </w:t>
      </w:r>
      <w:r w:rsidR="009A682A" w:rsidRPr="009A682A">
        <w:rPr>
          <w:lang w:val="ro-RO"/>
        </w:rPr>
        <w:lastRenderedPageBreak/>
        <w:t>neconstituționalitate a dispozițiilor art.277 alin.(2) și (4)</w:t>
      </w:r>
      <w:r w:rsidR="009A682A">
        <w:rPr>
          <w:lang w:val="ro-RO"/>
        </w:rPr>
        <w:t xml:space="preserve"> </w:t>
      </w:r>
      <w:r w:rsidR="009A682A" w:rsidRPr="009A682A">
        <w:rPr>
          <w:lang w:val="ro-RO"/>
        </w:rPr>
        <w:t>din Codul civil</w:t>
      </w:r>
      <w:r w:rsidR="009A682A">
        <w:rPr>
          <w:lang w:val="ro-RO"/>
        </w:rPr>
        <w:t xml:space="preserve">, </w:t>
      </w:r>
      <w:r w:rsidR="003F4D5D">
        <w:rPr>
          <w:lang w:val="ro-RO"/>
        </w:rPr>
        <w:t xml:space="preserve"> r</w:t>
      </w:r>
      <w:r w:rsidR="003F4D5D" w:rsidRPr="003F4D5D">
        <w:rPr>
          <w:lang w:val="ro-RO"/>
        </w:rPr>
        <w:t>idicată de Relu Adrian Coman, Robert Clabourn Hamilton și Asociația Accept, în</w:t>
      </w:r>
      <w:r w:rsidR="003F4D5D">
        <w:rPr>
          <w:lang w:val="ro-RO"/>
        </w:rPr>
        <w:t xml:space="preserve"> </w:t>
      </w:r>
      <w:r w:rsidR="003F4D5D" w:rsidRPr="003F4D5D">
        <w:rPr>
          <w:lang w:val="ro-RO"/>
        </w:rPr>
        <w:t>Dosarul nr.17.411/302/2015</w:t>
      </w:r>
      <w:r w:rsidR="003F4D5D">
        <w:rPr>
          <w:lang w:val="ro-RO"/>
        </w:rPr>
        <w:t xml:space="preserve">, ce </w:t>
      </w:r>
      <w:r w:rsidR="003F4D5D" w:rsidRPr="003F4D5D">
        <w:rPr>
          <w:lang w:val="ro-RO"/>
        </w:rPr>
        <w:t>formează obiectul Dosarului Cur</w:t>
      </w:r>
      <w:r w:rsidR="003F4D5D">
        <w:rPr>
          <w:lang w:val="ro-RO"/>
        </w:rPr>
        <w:t>ții Constituționale nr.78D/2016, Curtea menționează:</w:t>
      </w:r>
    </w:p>
    <w:p w:rsidR="009A682A" w:rsidRDefault="009A682A">
      <w:pPr>
        <w:pStyle w:val="Textbody"/>
        <w:spacing w:after="0" w:line="360" w:lineRule="auto"/>
        <w:jc w:val="both"/>
        <w:rPr>
          <w:lang w:val="ro-RO"/>
        </w:rPr>
      </w:pPr>
    </w:p>
    <w:p w:rsidR="009A682A" w:rsidRPr="003F4D5D" w:rsidRDefault="003F4D5D" w:rsidP="009A682A">
      <w:pPr>
        <w:pStyle w:val="Textbody"/>
        <w:spacing w:line="360" w:lineRule="auto"/>
        <w:ind w:left="720" w:right="810"/>
        <w:jc w:val="center"/>
        <w:rPr>
          <w:i/>
        </w:rPr>
      </w:pPr>
      <w:r w:rsidRPr="003F4D5D">
        <w:rPr>
          <w:i/>
        </w:rPr>
        <w:t>„</w:t>
      </w:r>
      <w:r w:rsidR="009A682A" w:rsidRPr="003F4D5D">
        <w:rPr>
          <w:i/>
        </w:rPr>
        <w:t xml:space="preserve">41. În această lumină, aplicând cele dispuse de instanța europeană în interpretarea normelor europene, </w:t>
      </w:r>
      <w:r w:rsidR="009A682A" w:rsidRPr="003F4D5D">
        <w:rPr>
          <w:i/>
          <w:u w:val="single"/>
        </w:rPr>
        <w:t>Curtea Constituțională constată că relația pe care o are un cuplu format din persoane de același sex intră în sfera noțiunii de „viață privată”, precum și a noțiunii de „viață de familie”, asemenea relației stabilite întrun cuplu heterosexual, fapt ce determină incidența protecției dreptului fundamental 26 la viață privată și de familie,</w:t>
      </w:r>
      <w:r w:rsidR="009A682A" w:rsidRPr="003F4D5D">
        <w:rPr>
          <w:i/>
        </w:rPr>
        <w:t xml:space="preserve"> garantat de art.7 din Carta drepturilor fundamentale ale Uniunii Europene, de art.8 din Convenția europeană pentru apărarea drepturilor omului și a libertăților fundamentale și de art.26 din Constituția României. </w:t>
      </w:r>
      <w:r w:rsidR="009A682A" w:rsidRPr="003F4D5D">
        <w:rPr>
          <w:i/>
          <w:u w:val="single"/>
        </w:rPr>
        <w:t>Bucurându-se de dreptul la viaţă privată și de familie, persoanele de același sex, care formează cupluri stabile, au dreptul de a-și exprima personalitatea în interiorul acestor relații și de a beneficia, în timp și prin mijloacele prevăzute de lege, de o recunoaștere legală și judiciară a drepturilor și îndatoririlor corespunzătoare</w:t>
      </w:r>
      <w:r w:rsidR="009A682A" w:rsidRPr="003F4D5D">
        <w:rPr>
          <w:i/>
        </w:rPr>
        <w:t xml:space="preserve"> (a se vedea, în acest sens, și hotărârea Curţii Constituţionale din Italia - Ordinanza n.4/2011, publicată în Gazzetta Ufficiale nr.2 din 12 ianuarie 2012).</w:t>
      </w:r>
      <w:r w:rsidRPr="003F4D5D">
        <w:rPr>
          <w:i/>
        </w:rPr>
        <w:t>”</w:t>
      </w:r>
    </w:p>
    <w:p w:rsidR="009A682A" w:rsidRPr="009A682A" w:rsidRDefault="009A682A" w:rsidP="009A682A">
      <w:pPr>
        <w:pStyle w:val="Textbody"/>
        <w:spacing w:line="360" w:lineRule="auto"/>
      </w:pPr>
    </w:p>
    <w:p w:rsidR="00176B0B" w:rsidRDefault="00324358">
      <w:pPr>
        <w:pStyle w:val="Textbody"/>
        <w:spacing w:after="0" w:line="360" w:lineRule="auto"/>
        <w:jc w:val="both"/>
      </w:pPr>
      <w:r>
        <w:rPr>
          <w:lang w:val="ro-RO"/>
        </w:rPr>
        <w:t xml:space="preserve">În plus, Constituţia consacră două principii fundamentale în domeniul protecţiei drepturilor omului: principiul universalităţii drepturilor (art.15) şi principiul egalităţii în drepturi (art.4 şi art.16). </w:t>
      </w:r>
      <w:r>
        <w:t xml:space="preserve">Recunoaşterea prin lege a </w:t>
      </w:r>
      <w:r w:rsidR="003F4D5D">
        <w:t>parteneriatului civil</w:t>
      </w:r>
      <w:r>
        <w:t xml:space="preserve"> constituie o confirmare a dorinţei României de a înlătura orice forme de discriminare din spaţiul public în funcţie de starea civilă.</w:t>
      </w:r>
    </w:p>
    <w:p w:rsidR="00176B0B" w:rsidRDefault="00176B0B">
      <w:pPr>
        <w:pStyle w:val="Textbody"/>
        <w:spacing w:after="0" w:line="360" w:lineRule="auto"/>
        <w:jc w:val="both"/>
      </w:pPr>
    </w:p>
    <w:p w:rsidR="00176B0B" w:rsidRDefault="00324358">
      <w:pPr>
        <w:pStyle w:val="Standard"/>
        <w:spacing w:after="0" w:line="360" w:lineRule="auto"/>
        <w:jc w:val="both"/>
      </w:pPr>
      <w:r>
        <w:rPr>
          <w:rFonts w:ascii="Times New Roman" w:hAnsi="Times New Roman" w:cs="Times New Roman"/>
          <w:sz w:val="24"/>
          <w:szCs w:val="24"/>
          <w:lang w:val="ro-RO"/>
        </w:rPr>
        <w:t>Principiul constituţional al egalităţii în drepturi este transpus în legislaţia românească prin Ordonanţa Guvernului 137/2000 privind prevenirea şi sancţionarea tuturor formelor de discriminare cu modificările şi completările ulterioare.</w:t>
      </w:r>
    </w:p>
    <w:p w:rsidR="00176B0B" w:rsidRDefault="00176B0B">
      <w:pPr>
        <w:pStyle w:val="Textbody"/>
        <w:spacing w:after="0" w:line="360" w:lineRule="auto"/>
        <w:jc w:val="both"/>
      </w:pPr>
    </w:p>
    <w:p w:rsidR="00176B0B" w:rsidRDefault="00324358">
      <w:pPr>
        <w:pStyle w:val="Textbody"/>
        <w:spacing w:after="0" w:line="360" w:lineRule="auto"/>
        <w:jc w:val="both"/>
      </w:pPr>
      <w:r>
        <w:t xml:space="preserve">In absenţa unui cadru legislativ care să reglementeze regimul drepturilor şi obligaţiilor pentru cuplurile care aleg să coabiteze sub forma </w:t>
      </w:r>
      <w:r w:rsidR="009A682A">
        <w:t>parteneriatului civil</w:t>
      </w:r>
      <w:r>
        <w:t xml:space="preserve">, cetăţenii români aflaţi în o astfel </w:t>
      </w:r>
      <w:r w:rsidR="00512C02">
        <w:lastRenderedPageBreak/>
        <w:t>de relaţie de parteneriat</w:t>
      </w:r>
      <w:r>
        <w:t xml:space="preserve"> de facto sunt puşi în o situaţie de inferioritate în raport cu cetăţenii altor State Membre. Astfel, în timp ce partenerii unor cetăţeni ai UE care sunt cetăţeni ai unor state terţe au garantată libertatea de mişcare, împreună cu partenerii lor, conform art. 2 (1) 7 din OG 30/2006 care transpune prevederile Directivei 38/2004, partenerilor unor cetăţeni români li se aplică un regim juridic diferit şi aceştia pot solicita vize pentru reunificarea familială numai dacă cuplul are cel puţin un copil împreună conform art.46.15.b al OUG 194 din 2002  modificată de Legea 56/2007.</w:t>
      </w:r>
    </w:p>
    <w:p w:rsidR="00176B0B" w:rsidRDefault="00176B0B">
      <w:pPr>
        <w:pStyle w:val="Textbodyindent"/>
        <w:spacing w:before="0" w:line="360" w:lineRule="auto"/>
        <w:ind w:firstLine="0"/>
      </w:pPr>
    </w:p>
    <w:p w:rsidR="00176B0B" w:rsidRDefault="0032435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Prezentul proiect de lege urmăreşte stabilirea cadrului legal prin </w:t>
      </w:r>
      <w:r w:rsidR="00512C02">
        <w:rPr>
          <w:rFonts w:ascii="Times New Roman" w:hAnsi="Times New Roman" w:cs="Times New Roman"/>
          <w:sz w:val="24"/>
          <w:szCs w:val="24"/>
        </w:rPr>
        <w:t xml:space="preserve">prin </w:t>
      </w:r>
      <w:r>
        <w:rPr>
          <w:rFonts w:ascii="Times New Roman" w:hAnsi="Times New Roman" w:cs="Times New Roman"/>
          <w:sz w:val="24"/>
          <w:szCs w:val="24"/>
        </w:rPr>
        <w:t>care</w:t>
      </w:r>
      <w:r w:rsidR="00512C02">
        <w:rPr>
          <w:rFonts w:ascii="Times New Roman" w:hAnsi="Times New Roman" w:cs="Times New Roman"/>
          <w:sz w:val="24"/>
          <w:szCs w:val="24"/>
        </w:rPr>
        <w:t>,</w:t>
      </w:r>
      <w:r>
        <w:rPr>
          <w:rFonts w:ascii="Times New Roman" w:hAnsi="Times New Roman" w:cs="Times New Roman"/>
          <w:sz w:val="24"/>
          <w:szCs w:val="24"/>
        </w:rPr>
        <w:t xml:space="preserve"> luându-se notă de evoluția socială și de realitatea juridică românească și europeană</w:t>
      </w:r>
      <w:r w:rsidR="00512C02">
        <w:rPr>
          <w:rFonts w:ascii="Times New Roman" w:hAnsi="Times New Roman" w:cs="Times New Roman"/>
          <w:sz w:val="24"/>
          <w:szCs w:val="24"/>
        </w:rPr>
        <w:t>,</w:t>
      </w:r>
      <w:r>
        <w:rPr>
          <w:rFonts w:ascii="Times New Roman" w:hAnsi="Times New Roman" w:cs="Times New Roman"/>
          <w:sz w:val="24"/>
          <w:szCs w:val="24"/>
        </w:rPr>
        <w:t xml:space="preserve"> se asigură soluţionarea unor probleme care ţin de recunoaşterea, respectiv dizolvarea relaţiei </w:t>
      </w:r>
      <w:r w:rsidR="009A682A">
        <w:rPr>
          <w:rFonts w:ascii="Times New Roman" w:hAnsi="Times New Roman" w:cs="Times New Roman"/>
          <w:sz w:val="24"/>
          <w:szCs w:val="24"/>
        </w:rPr>
        <w:t>reglementate prin</w:t>
      </w:r>
      <w:r>
        <w:rPr>
          <w:rFonts w:ascii="Times New Roman" w:hAnsi="Times New Roman" w:cs="Times New Roman"/>
          <w:sz w:val="24"/>
          <w:szCs w:val="24"/>
        </w:rPr>
        <w:t xml:space="preserve"> </w:t>
      </w:r>
      <w:r w:rsidR="009A682A" w:rsidRPr="009A682A">
        <w:rPr>
          <w:rFonts w:ascii="Times New Roman" w:hAnsi="Times New Roman" w:cs="Times New Roman"/>
          <w:sz w:val="24"/>
          <w:szCs w:val="24"/>
        </w:rPr>
        <w:t>parteneriat civil</w:t>
      </w:r>
      <w:r>
        <w:rPr>
          <w:rFonts w:ascii="Times New Roman" w:hAnsi="Times New Roman" w:cs="Times New Roman"/>
          <w:sz w:val="24"/>
          <w:szCs w:val="24"/>
        </w:rPr>
        <w:t>, aspecte care ţin de drepturile succesorale, de sancţionarea violenţei domestice în cazul în care aceasta se manifestă în cuplu, de regimul juridic al probaţiunii în perioada de coabitare, de obligaţia de întreţinere a partenerului aflat în incapacitate, de regimul bunurilor, de recunoaștere</w:t>
      </w:r>
      <w:r w:rsidR="00D509B1">
        <w:rPr>
          <w:rFonts w:ascii="Times New Roman" w:hAnsi="Times New Roman" w:cs="Times New Roman"/>
          <w:sz w:val="24"/>
          <w:szCs w:val="24"/>
        </w:rPr>
        <w:t xml:space="preserve"> </w:t>
      </w:r>
      <w:r>
        <w:rPr>
          <w:rFonts w:ascii="Times New Roman" w:hAnsi="Times New Roman" w:cs="Times New Roman"/>
          <w:sz w:val="24"/>
          <w:szCs w:val="24"/>
        </w:rPr>
        <w:t>a facilităților fiscale sau a beneficiilor sociale acordate de stat familiilor vulnerabile în baza vulnerabilității lor și nu a statutului civil. Proiectul garantează nu numai realizarea interesului individual</w:t>
      </w:r>
      <w:r w:rsidR="00D509B1">
        <w:rPr>
          <w:rFonts w:ascii="Times New Roman" w:hAnsi="Times New Roman" w:cs="Times New Roman"/>
          <w:sz w:val="24"/>
          <w:szCs w:val="24"/>
        </w:rPr>
        <w:t>,</w:t>
      </w:r>
      <w:r>
        <w:rPr>
          <w:rFonts w:ascii="Times New Roman" w:hAnsi="Times New Roman" w:cs="Times New Roman"/>
          <w:sz w:val="24"/>
          <w:szCs w:val="24"/>
        </w:rPr>
        <w:t xml:space="preserve"> ci şi satisfacerea interesului public prin confirmarea pe cale legală a unor construcţii sociale pozitive care apar ca alternativă de facto la căsătorie şi prin îmbunătăţirea cadrului juridic în ceea ce priveşte copii născuţi în afara căsătoriei, situaţia urmaşilor comuni în cazul încetării </w:t>
      </w:r>
      <w:r w:rsidR="003F4D5D">
        <w:rPr>
          <w:rFonts w:ascii="Times New Roman" w:hAnsi="Times New Roman" w:cs="Times New Roman"/>
          <w:sz w:val="24"/>
          <w:szCs w:val="24"/>
        </w:rPr>
        <w:t>parteneriatului civil</w:t>
      </w:r>
      <w:r>
        <w:rPr>
          <w:rFonts w:ascii="Times New Roman" w:hAnsi="Times New Roman" w:cs="Times New Roman"/>
          <w:sz w:val="24"/>
          <w:szCs w:val="24"/>
        </w:rPr>
        <w:t>, relaţiile patrimoniale dintre parteneri, recunoaşterea drepturilor şi obl</w:t>
      </w:r>
      <w:r w:rsidR="00D509B1">
        <w:rPr>
          <w:rFonts w:ascii="Times New Roman" w:hAnsi="Times New Roman" w:cs="Times New Roman"/>
          <w:sz w:val="24"/>
          <w:szCs w:val="24"/>
        </w:rPr>
        <w:t>igaţiilor cuplurilor ce trăiesc în parteneriate</w:t>
      </w:r>
      <w:r>
        <w:rPr>
          <w:rFonts w:ascii="Times New Roman" w:hAnsi="Times New Roman" w:cs="Times New Roman"/>
          <w:sz w:val="24"/>
          <w:szCs w:val="24"/>
        </w:rPr>
        <w:t xml:space="preserve"> înregistrate sau recunoscute conform legislaţiei din alte state membre ale Uniunii Europene.</w:t>
      </w:r>
    </w:p>
    <w:p w:rsidR="00176B0B" w:rsidRDefault="00176B0B">
      <w:pPr>
        <w:pStyle w:val="Standard"/>
        <w:spacing w:after="0" w:line="360" w:lineRule="auto"/>
        <w:jc w:val="both"/>
        <w:rPr>
          <w:rFonts w:ascii="Times New Roman" w:hAnsi="Times New Roman" w:cs="Times New Roman"/>
          <w:sz w:val="24"/>
          <w:szCs w:val="24"/>
        </w:rPr>
      </w:pPr>
    </w:p>
    <w:p w:rsidR="00176B0B" w:rsidRDefault="00324358">
      <w:pPr>
        <w:pStyle w:val="Textbody"/>
        <w:spacing w:after="0" w:line="360" w:lineRule="auto"/>
        <w:jc w:val="both"/>
      </w:pPr>
      <w:r>
        <w:t xml:space="preserve">Principiile care au stat la baza prezentului proiect de lege sunt: egalitatea în faţa legii, echitatea, respectarea demnităţii umane şi a dreptului la viaţă privată, afirmarea principiului non-discriminării. De aceea, proiectul de lege se limitează la recunoaşterea şi înregistrarea </w:t>
      </w:r>
      <w:r w:rsidR="003F4D5D">
        <w:t xml:space="preserve">parteneriatului civil </w:t>
      </w:r>
      <w:r>
        <w:t>şi nu afectează în nici un fel conceptul tradiţional al căsătoriei.</w:t>
      </w:r>
    </w:p>
    <w:p w:rsidR="00176B0B" w:rsidRDefault="00176B0B">
      <w:pPr>
        <w:pStyle w:val="Textbodyindent"/>
        <w:spacing w:before="0" w:line="360" w:lineRule="auto"/>
        <w:ind w:firstLine="0"/>
      </w:pPr>
    </w:p>
    <w:p w:rsidR="00176B0B" w:rsidRDefault="00324358">
      <w:pPr>
        <w:pStyle w:val="Textbodyindent"/>
        <w:spacing w:before="0" w:line="360" w:lineRule="auto"/>
        <w:ind w:firstLine="0"/>
      </w:pPr>
      <w:r>
        <w:t xml:space="preserve">Proiectul de lege clarifică regimul unor drepturi şi responsabilităţi în perioada </w:t>
      </w:r>
      <w:r w:rsidR="002369B9">
        <w:t>parteneriatului civil</w:t>
      </w:r>
      <w:r>
        <w:t xml:space="preserve"> astfel:</w:t>
      </w:r>
    </w:p>
    <w:p w:rsidR="00176B0B" w:rsidRDefault="00324358">
      <w:pPr>
        <w:pStyle w:val="Textbodyindent"/>
        <w:spacing w:before="0" w:line="360" w:lineRule="auto"/>
        <w:ind w:firstLine="0"/>
      </w:pPr>
      <w:r>
        <w:t>Drepturi patrimoniale:</w:t>
      </w:r>
    </w:p>
    <w:p w:rsidR="00176B0B" w:rsidRDefault="00324358">
      <w:pPr>
        <w:pStyle w:val="Textbodyindent"/>
        <w:numPr>
          <w:ilvl w:val="0"/>
          <w:numId w:val="2"/>
        </w:numPr>
        <w:spacing w:before="0" w:line="360" w:lineRule="auto"/>
      </w:pPr>
      <w:r>
        <w:lastRenderedPageBreak/>
        <w:t>regimul bunurilor - prezumându-se regimul separației bunurilor;</w:t>
      </w:r>
    </w:p>
    <w:p w:rsidR="00176B0B" w:rsidRDefault="00324358">
      <w:pPr>
        <w:pStyle w:val="Textbodyindent"/>
        <w:numPr>
          <w:ilvl w:val="0"/>
          <w:numId w:val="1"/>
        </w:numPr>
        <w:spacing w:before="0" w:line="360" w:lineRule="auto"/>
      </w:pPr>
      <w:r>
        <w:t>regimul datoriilor comune;</w:t>
      </w:r>
    </w:p>
    <w:p w:rsidR="00176B0B" w:rsidRDefault="00324358">
      <w:pPr>
        <w:pStyle w:val="Textbodyindent"/>
        <w:numPr>
          <w:ilvl w:val="0"/>
          <w:numId w:val="1"/>
        </w:numPr>
        <w:spacing w:before="0" w:line="360" w:lineRule="auto"/>
      </w:pPr>
      <w:r>
        <w:t>regimul moștenirii legale;</w:t>
      </w:r>
    </w:p>
    <w:p w:rsidR="00176B0B" w:rsidRDefault="00324358">
      <w:pPr>
        <w:pStyle w:val="Textbodyindent"/>
        <w:numPr>
          <w:ilvl w:val="0"/>
          <w:numId w:val="1"/>
        </w:numPr>
        <w:spacing w:before="0" w:line="360" w:lineRule="auto"/>
      </w:pPr>
      <w:r>
        <w:t>statutul asimilat relației dintre soți în materia asistenței sociale, a asigurărilor sociale, de sănătate, calculării impozitelor și taxelor, a venitului minim de incluziune.</w:t>
      </w:r>
    </w:p>
    <w:p w:rsidR="00176B0B" w:rsidRDefault="00176B0B">
      <w:pPr>
        <w:pStyle w:val="Textbodyindent"/>
        <w:spacing w:before="0" w:line="360" w:lineRule="auto"/>
        <w:ind w:left="720" w:firstLine="0"/>
      </w:pPr>
    </w:p>
    <w:p w:rsidR="00176B0B" w:rsidRDefault="00324358">
      <w:pPr>
        <w:pStyle w:val="Textbodyindent"/>
        <w:spacing w:before="0" w:line="360" w:lineRule="auto"/>
        <w:ind w:firstLine="0"/>
      </w:pPr>
      <w:r>
        <w:t>Drepturi nepatrimoniale:</w:t>
      </w:r>
    </w:p>
    <w:p w:rsidR="00176B0B" w:rsidRDefault="00324358">
      <w:pPr>
        <w:pStyle w:val="Textbodyindent"/>
        <w:numPr>
          <w:ilvl w:val="0"/>
          <w:numId w:val="1"/>
        </w:numPr>
        <w:spacing w:before="0" w:line="360" w:lineRule="auto"/>
      </w:pPr>
      <w:r>
        <w:t>dreptul la libera circulaţie şi şedere, precum</w:t>
      </w:r>
      <w:r w:rsidR="00D509B1">
        <w:t xml:space="preserve"> şi dreptul de şedere permanentă</w:t>
      </w:r>
      <w:r>
        <w:t xml:space="preserve"> pe teritoriul României a cetăţenilor Uniunii Europene şi ai statelor membre ale Spaţiului Economic European şi membrii acestora de familie – prevederile Ordonanţei de Urgenţă a Guvernului 102/2005 privind libera circulaţie pe teritoriul României a cetăţenilor statelor membre ale Uniunii Europene şi Spaţiului Economic European, aprobată cu modificări şi completări prin </w:t>
      </w:r>
      <w:r>
        <w:rPr>
          <w:vanish/>
        </w:rPr>
        <w:t>&lt;LLNK 12005   260 10 201   0 18&gt;</w:t>
      </w:r>
      <w:r>
        <w:t>Legea nr. 260/2005, modificată de Ordonanţa nr. 30 din 19 iulie 2006;</w:t>
      </w:r>
    </w:p>
    <w:p w:rsidR="00176B0B" w:rsidRDefault="00324358">
      <w:pPr>
        <w:pStyle w:val="Textbodyindent"/>
        <w:numPr>
          <w:ilvl w:val="0"/>
          <w:numId w:val="1"/>
        </w:numPr>
        <w:shd w:val="clear" w:color="auto" w:fill="FFFFFF"/>
        <w:spacing w:before="0" w:line="360" w:lineRule="auto"/>
      </w:pPr>
      <w:r>
        <w:t>perioada mai scurtă pentru obţinerea cetăţeniei române – art.8 din Legea 21/1991 a cetăţeniei române;</w:t>
      </w:r>
    </w:p>
    <w:p w:rsidR="00176B0B" w:rsidRDefault="00324358">
      <w:pPr>
        <w:pStyle w:val="Textbodyindent"/>
        <w:numPr>
          <w:ilvl w:val="0"/>
          <w:numId w:val="1"/>
        </w:numPr>
        <w:shd w:val="clear" w:color="auto" w:fill="FFFFFF"/>
        <w:spacing w:before="0" w:line="360" w:lineRule="auto"/>
      </w:pPr>
      <w:r>
        <w:t xml:space="preserve">statutul asimilat soților în relațiile care au loc în justiție în baza deciziei Curții Constituționale </w:t>
      </w:r>
      <w:r>
        <w:rPr>
          <w:bCs/>
          <w:color w:val="000000"/>
        </w:rPr>
        <w:t>Nr. 562 din 19 septembrie 2017 referitoare la excepţia de neconstituţionalitate a dispoziţiilor art. 117 alin. (1) lit. a) şi lit. b) din Codul de procedură penală</w:t>
      </w:r>
      <w:r>
        <w:t>;</w:t>
      </w:r>
    </w:p>
    <w:p w:rsidR="00176B0B" w:rsidRDefault="00324358">
      <w:pPr>
        <w:pStyle w:val="Textbodyindent"/>
        <w:numPr>
          <w:ilvl w:val="0"/>
          <w:numId w:val="1"/>
        </w:numPr>
        <w:spacing w:before="0" w:line="360" w:lineRule="auto"/>
      </w:pPr>
      <w:r>
        <w:t>incompatibilităţile la numirea în anumite funcţii sau exercitarea anumitor activităţi (de ex. judecător, procuror, expert, funcţionar public, conflicte de interese);</w:t>
      </w:r>
    </w:p>
    <w:p w:rsidR="00176B0B" w:rsidRDefault="00324358">
      <w:pPr>
        <w:pStyle w:val="Textbodyindent"/>
        <w:numPr>
          <w:ilvl w:val="0"/>
          <w:numId w:val="1"/>
        </w:numPr>
        <w:spacing w:before="0" w:line="360" w:lineRule="auto"/>
      </w:pPr>
      <w:r>
        <w:t>protecţia specială, inclusiv penală în cazul violenţei domestice – prevederile Legii 217/2003 pentru prevenirea şi combaterea violenţei în familie;</w:t>
      </w:r>
    </w:p>
    <w:p w:rsidR="00176B0B" w:rsidRDefault="00324358">
      <w:pPr>
        <w:pStyle w:val="Textbodyindent"/>
        <w:numPr>
          <w:ilvl w:val="0"/>
          <w:numId w:val="1"/>
        </w:numPr>
        <w:spacing w:before="0" w:line="360" w:lineRule="auto"/>
      </w:pPr>
      <w:r>
        <w:t>acordarea concediului cu plată în caz de deces sau boală gravă a celuilalt partener;</w:t>
      </w:r>
    </w:p>
    <w:p w:rsidR="00176B0B" w:rsidRDefault="00324358">
      <w:pPr>
        <w:pStyle w:val="Textbodyindent"/>
        <w:numPr>
          <w:ilvl w:val="0"/>
          <w:numId w:val="1"/>
        </w:numPr>
        <w:spacing w:before="0" w:line="360" w:lineRule="auto"/>
      </w:pPr>
      <w:r>
        <w:t>drepturile părinteşti dobândite în mod automat în cazul unui copil născut în timpul relației de parteneriat în cazul cuplului heterosexual.</w:t>
      </w:r>
    </w:p>
    <w:p w:rsidR="00176B0B" w:rsidRDefault="00176B0B">
      <w:pPr>
        <w:pStyle w:val="Standard"/>
        <w:spacing w:after="0" w:line="360" w:lineRule="auto"/>
        <w:jc w:val="both"/>
        <w:rPr>
          <w:rFonts w:ascii="Times New Roman" w:hAnsi="Times New Roman" w:cs="Times New Roman"/>
          <w:sz w:val="24"/>
          <w:szCs w:val="24"/>
        </w:rPr>
      </w:pPr>
    </w:p>
    <w:p w:rsidR="00176B0B" w:rsidRDefault="00324358">
      <w:pPr>
        <w:pStyle w:val="Textbody"/>
        <w:spacing w:after="0" w:line="360" w:lineRule="auto"/>
        <w:jc w:val="both"/>
      </w:pPr>
      <w:r>
        <w:t>Recunoaşterea uniunii consensuale sau a parteneriatului civil ca o realitate de fapt este confirmată de tendinţele din statele europene care treptat au adoptat legislaţie privind coabitarea şi parteneriatul înregistrat sau neînregistrat dar recunoscut de lege. Astfel,</w:t>
      </w:r>
      <w:r w:rsidR="00335DE2">
        <w:t xml:space="preserve"> Andora înregistrează din 2005 „cuplurile stabile” sub forma „</w:t>
      </w:r>
      <w:r>
        <w:t xml:space="preserve">uniunilor stabile.” In Austria, ca urmare a deciziei Curţii </w:t>
      </w:r>
      <w:r>
        <w:lastRenderedPageBreak/>
        <w:t xml:space="preserve">Europene a Drepturilor Omului în </w:t>
      </w:r>
      <w:r>
        <w:rPr>
          <w:b/>
          <w:bCs/>
          <w:i/>
          <w:iCs/>
        </w:rPr>
        <w:t xml:space="preserve">Karner c. Austriei </w:t>
      </w:r>
      <w:r>
        <w:t>(2003), cuplurile consensual</w:t>
      </w:r>
      <w:r w:rsidR="00335DE2">
        <w:t>e sunt recunoscute ca forme de „</w:t>
      </w:r>
      <w:r>
        <w:t>coabitare neînregistrate” cu drepturi egale prin Legea parteneriatelor înregistrate (Eingetragene Partnerschaftgesetz – EPG), din 30 decembrie 2009.</w:t>
      </w:r>
    </w:p>
    <w:p w:rsidR="00176B0B" w:rsidRDefault="00176B0B">
      <w:pPr>
        <w:pStyle w:val="Textbody"/>
        <w:spacing w:after="0" w:line="360" w:lineRule="auto"/>
        <w:jc w:val="both"/>
      </w:pPr>
    </w:p>
    <w:p w:rsidR="00176B0B" w:rsidRDefault="00324358">
      <w:pPr>
        <w:pStyle w:val="Textbody"/>
        <w:spacing w:after="0" w:line="360" w:lineRule="auto"/>
        <w:jc w:val="both"/>
      </w:pPr>
      <w:r>
        <w:t>Legisl</w:t>
      </w:r>
      <w:r w:rsidR="00335DE2">
        <w:t>aţia belgiană prevede din 1998 „</w:t>
      </w:r>
      <w:r>
        <w:t>coabitarea legală/ înregistrată,” (</w:t>
      </w:r>
      <w:r>
        <w:rPr>
          <w:i/>
          <w:iCs/>
        </w:rPr>
        <w:t xml:space="preserve">Loi du 23 novembre 1998 instaurant la cohabitation légale) </w:t>
      </w:r>
      <w:r>
        <w:rPr>
          <w:iCs/>
        </w:rPr>
        <w:t>precum și coabitarea de fapt (neînregistrată)</w:t>
      </w:r>
      <w:r>
        <w:t>. Legea daneză a parteneriatului înregistrat datează din 1989 fiind prima din lume şi asigură cuplurilor înregistrate aceleaşi drepturi pe care le au şi cuplurile căsătorite mai puţin dreptul la adopţie. Un partener poate totuşi adopta copilul celuilalt partener (Act no.372 of 7 June 1989).</w:t>
      </w:r>
    </w:p>
    <w:p w:rsidR="00176B0B" w:rsidRDefault="00176B0B">
      <w:pPr>
        <w:pStyle w:val="Textbody"/>
        <w:spacing w:after="0" w:line="360" w:lineRule="auto"/>
        <w:jc w:val="both"/>
      </w:pPr>
    </w:p>
    <w:p w:rsidR="00176B0B" w:rsidRDefault="00324358">
      <w:pPr>
        <w:pStyle w:val="Textbody"/>
        <w:spacing w:after="0" w:line="360" w:lineRule="auto"/>
        <w:jc w:val="both"/>
      </w:pPr>
      <w:r>
        <w:t>Legea finlandeză (2001) a parteneriatului înregistrat (Act 950/2001) asigură drepturi şi obligaţii similare cu cele care rezultă din căsătorie. Custodia comună este permisă prin lege şi legea prevede în mod expres şi posibilitatea naturalizării pentru cetăţenii străini care intră în o relaţie de parteneriat în baza acestei legi. Legea finlandeză recunoaște și parteneriatul neînregistrat. Dacă parteneriatul neînregistrat a durat mai puţin de cinci ani şi dacă partenerii nu au un copil comun, eventualele conflicte privind proprietatea partenerilor se soluţionează în baza prevederilor legale generale. În cazul în care parteneriatul neînregistrat a durat mai mult de cinci ani, sau dacă partenerii a</w:t>
      </w:r>
      <w:r w:rsidR="00335DE2">
        <w:t>u împreună un copil, se aplică „</w:t>
      </w:r>
      <w:r>
        <w:t>Legea privind desfacerea gospodăriei partenerilor coabitanţi" din 1 aprilie 2011.</w:t>
      </w:r>
    </w:p>
    <w:p w:rsidR="00176B0B" w:rsidRDefault="00176B0B">
      <w:pPr>
        <w:pStyle w:val="Textbody"/>
        <w:spacing w:after="0" w:line="360" w:lineRule="auto"/>
        <w:jc w:val="both"/>
      </w:pPr>
    </w:p>
    <w:p w:rsidR="00176B0B" w:rsidRDefault="0032435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Legea elveţiană privind parteneriatul înregistrat din 2004 garantează drepturi egale în privinţa regimului pensiilor, taxelor şi asigurărilor. Legea franceză prevede atât parteneriatul neînregistrat (concubinajul) cât şi parteneriatul înregistrat sub forma pactului civil de solidaritate (PACS), 15.11.99, Loi No.99-944) care comple</w:t>
      </w:r>
      <w:r w:rsidR="00335DE2">
        <w:rPr>
          <w:rFonts w:ascii="Times New Roman" w:hAnsi="Times New Roman" w:cs="Times New Roman"/>
          <w:sz w:val="24"/>
          <w:szCs w:val="24"/>
        </w:rPr>
        <w:t>tează Codul civil, Titlul XII: „</w:t>
      </w:r>
      <w:r>
        <w:rPr>
          <w:rFonts w:ascii="Times New Roman" w:hAnsi="Times New Roman" w:cs="Times New Roman"/>
          <w:sz w:val="24"/>
          <w:szCs w:val="24"/>
        </w:rPr>
        <w:t>Despre pactul civil de solidaritate şi despre concubinaj.” Legea permite taxarea comună şi acordă o serie de drepturi şi facilităţi, inlusiv fiscale, pentru cupluri după trei ani de la înregistrarea pactului de solidaritate civilă la instanţa civilă. Articolul 515-8 al Codului C</w:t>
      </w:r>
      <w:r w:rsidR="00335DE2">
        <w:rPr>
          <w:rFonts w:ascii="Times New Roman" w:hAnsi="Times New Roman" w:cs="Times New Roman"/>
          <w:sz w:val="24"/>
          <w:szCs w:val="24"/>
        </w:rPr>
        <w:t>ivil definește concubinajul ca „</w:t>
      </w:r>
      <w:r>
        <w:rPr>
          <w:rFonts w:ascii="Times New Roman" w:hAnsi="Times New Roman" w:cs="Times New Roman"/>
          <w:sz w:val="24"/>
          <w:szCs w:val="24"/>
        </w:rPr>
        <w:t>o uniune de fapt, caracterizată prin trai comun cu caracter de stabilitate şi continuitate, între două persoane, de sexe diferite sau de acelaşi sex, care trăiesc în cuplu.”</w:t>
      </w:r>
    </w:p>
    <w:p w:rsidR="00176B0B" w:rsidRDefault="00176B0B">
      <w:pPr>
        <w:pStyle w:val="Textbody"/>
        <w:spacing w:after="0" w:line="360" w:lineRule="auto"/>
        <w:jc w:val="both"/>
      </w:pPr>
    </w:p>
    <w:p w:rsidR="00176B0B" w:rsidRDefault="00324358">
      <w:pPr>
        <w:pStyle w:val="Textbody"/>
        <w:spacing w:after="0" w:line="360" w:lineRule="auto"/>
        <w:jc w:val="both"/>
      </w:pPr>
      <w:r>
        <w:lastRenderedPageBreak/>
        <w:t>Legea germană pentru parteneriat pe viaţă din 2001 (Eingetragene Lebenspartnerschaftsgesetz ) permite posibilitatea ca partenerii de același sex să îşi schimbe numele de familie, să fie scutiţi de taxe pentru succesiune ca şi cuplurile căsătorite, să aibă custodie comună şi să poată adopta copii celuilalt partener.</w:t>
      </w:r>
      <w:r>
        <w:rPr>
          <w:rStyle w:val="FootnoteReference"/>
        </w:rPr>
        <w:footnoteReference w:id="7"/>
      </w:r>
      <w:r>
        <w:t xml:space="preserve"> Legea permite eligibilitatea pentru anumite facilităţi financiare şi de asistenţă socială, inclusiv pensia de urmaş pentru partenerul supravieţuitor, drepturi similare în cazul închirierilor imobiliare, concesii privind emigrarea pentru partenerul străin, obligaţia de întreţinere.</w:t>
      </w:r>
    </w:p>
    <w:p w:rsidR="00176B0B" w:rsidRDefault="00176B0B">
      <w:pPr>
        <w:pStyle w:val="Textbody"/>
        <w:spacing w:after="0" w:line="360" w:lineRule="auto"/>
        <w:jc w:val="both"/>
      </w:pPr>
    </w:p>
    <w:p w:rsidR="00176B0B" w:rsidRDefault="00324358">
      <w:pPr>
        <w:pStyle w:val="Textbody"/>
        <w:spacing w:after="0" w:line="360" w:lineRule="auto"/>
        <w:jc w:val="both"/>
      </w:pPr>
      <w:r>
        <w:t xml:space="preserve">Ca urmare a hotărârii Curții de la Strasbourg în 2013 în cauza </w:t>
      </w:r>
      <w:r>
        <w:rPr>
          <w:i/>
        </w:rPr>
        <w:t>Valianatos și alții c. Greciei</w:t>
      </w:r>
      <w:r>
        <w:t>, în 2015 Grecia a adoptat Legea 4356/2015 care extinde dreptul de a încheia un parteneriat civil și în cazul cuplurilor de același sex.</w:t>
      </w:r>
    </w:p>
    <w:p w:rsidR="00176B0B" w:rsidRDefault="00176B0B">
      <w:pPr>
        <w:pStyle w:val="Standard"/>
        <w:spacing w:after="0" w:line="360" w:lineRule="auto"/>
        <w:jc w:val="both"/>
        <w:rPr>
          <w:rFonts w:ascii="Times New Roman" w:eastAsia="Times New Roman" w:hAnsi="Times New Roman" w:cs="Times New Roman"/>
          <w:sz w:val="24"/>
          <w:szCs w:val="24"/>
        </w:rPr>
      </w:pPr>
    </w:p>
    <w:p w:rsidR="00176B0B" w:rsidRDefault="00324358">
      <w:pPr>
        <w:pStyle w:val="Standard"/>
        <w:spacing w:after="0" w:line="360" w:lineRule="auto"/>
        <w:jc w:val="both"/>
      </w:pPr>
      <w:r>
        <w:rPr>
          <w:rFonts w:ascii="Times New Roman" w:hAnsi="Times New Roman" w:cs="Times New Roman"/>
          <w:sz w:val="24"/>
          <w:szCs w:val="24"/>
          <w:lang w:val="ro-RO"/>
        </w:rPr>
        <w:t xml:space="preserve">La 21 iulie 2015, Curtea Europeană a Drepturilor Omului, în cauza </w:t>
      </w:r>
      <w:r>
        <w:rPr>
          <w:rFonts w:ascii="Times New Roman" w:hAnsi="Times New Roman" w:cs="Times New Roman"/>
          <w:i/>
          <w:sz w:val="24"/>
          <w:szCs w:val="24"/>
          <w:lang w:val="ro-RO"/>
        </w:rPr>
        <w:t>Oliari și alții c. Italiei</w:t>
      </w:r>
      <w:r>
        <w:rPr>
          <w:rFonts w:ascii="Times New Roman" w:hAnsi="Times New Roman" w:cs="Times New Roman"/>
          <w:sz w:val="24"/>
          <w:szCs w:val="24"/>
          <w:lang w:val="ro-RO"/>
        </w:rPr>
        <w:t>, a decis că Italia a încălcat Convenția Europeană a Drepturilor Omului prin nerecunoașterea dreptului de a-și întemeia o familie pentru cuplurile de același sex. În anul următor, Italia a adoptat o lege privind parteneriatul civil pentru persoane de același sex.</w:t>
      </w:r>
    </w:p>
    <w:p w:rsidR="00176B0B" w:rsidRDefault="00176B0B">
      <w:pPr>
        <w:pStyle w:val="Textbody"/>
        <w:spacing w:after="0" w:line="360" w:lineRule="auto"/>
        <w:jc w:val="both"/>
      </w:pPr>
    </w:p>
    <w:p w:rsidR="00176B0B" w:rsidRDefault="00324358">
      <w:pPr>
        <w:pStyle w:val="Textbody"/>
        <w:spacing w:after="0" w:line="360" w:lineRule="auto"/>
        <w:jc w:val="both"/>
      </w:pPr>
      <w:r>
        <w:t>Legea parteneriatului înregistrat din Islanda (1996) stabileşte drepturi, facilităţi şi obligaţii identice ca şi în cazul căsătoriei. Custodia comună este permisă precum şi adoptarea copilului celuilalt partener. In 2004 Parlamentul irlandez a adoptat legea parteneriatului civil (Civil Partnership Act, 2004) care recunoaşte relaţia conjugală în care intră în mod liber două persoane care locuiesc împreună.</w:t>
      </w:r>
    </w:p>
    <w:p w:rsidR="00176B0B" w:rsidRDefault="00176B0B">
      <w:pPr>
        <w:pStyle w:val="Textbody"/>
        <w:spacing w:after="0" w:line="360" w:lineRule="auto"/>
        <w:jc w:val="both"/>
      </w:pPr>
    </w:p>
    <w:p w:rsidR="00176B0B" w:rsidRDefault="00324358">
      <w:pPr>
        <w:pStyle w:val="Textbody"/>
        <w:spacing w:after="0" w:line="360" w:lineRule="auto"/>
        <w:jc w:val="both"/>
      </w:pPr>
      <w:r>
        <w:t>Legea luxemburgheză a parteneriatului înregistrat (4946-12 Mai 2004) asigură aceleaşi drepturi, facilităti de asistenţă socială şi fiscale ca şi cuplurilor căsătorite, cuplurilor care se înregistrează în faţa ofiţerului stării civile.</w:t>
      </w:r>
    </w:p>
    <w:p w:rsidR="00176B0B" w:rsidRDefault="00176B0B">
      <w:pPr>
        <w:pStyle w:val="Textbody"/>
        <w:spacing w:after="0" w:line="360" w:lineRule="auto"/>
        <w:jc w:val="both"/>
      </w:pPr>
    </w:p>
    <w:p w:rsidR="00176B0B" w:rsidRDefault="00324358">
      <w:pPr>
        <w:pStyle w:val="Textbody"/>
        <w:spacing w:after="0" w:line="360" w:lineRule="auto"/>
        <w:jc w:val="both"/>
      </w:pPr>
      <w:r>
        <w:t>In Marea Britanie parteneriatul înregistrat a fost adoptat în 2004 și a intrat în vigoare din 2005 şi garantează partenerilor drepturi şi responsabilităţi identice cu cele care decurg din căsătorie.</w:t>
      </w:r>
      <w:r>
        <w:rPr>
          <w:rStyle w:val="FootnoteReference"/>
        </w:rPr>
        <w:footnoteReference w:id="8"/>
      </w:r>
      <w:r>
        <w:t xml:space="preserve"> In </w:t>
      </w:r>
      <w:r>
        <w:lastRenderedPageBreak/>
        <w:t>conformitate cu dreptul comun, este recunoscută şi creează efecte juridice şi coabitarea neînregistrată, în special în ceea ce priveşte daunele rezultate din accidente, relaţiile imobiliare, migrarea, sănatatea.</w:t>
      </w:r>
    </w:p>
    <w:p w:rsidR="00176B0B" w:rsidRDefault="00176B0B">
      <w:pPr>
        <w:pStyle w:val="Textbody"/>
        <w:spacing w:after="0" w:line="360" w:lineRule="auto"/>
        <w:jc w:val="both"/>
      </w:pPr>
    </w:p>
    <w:p w:rsidR="00176B0B" w:rsidRDefault="00324358">
      <w:pPr>
        <w:pStyle w:val="Textbody"/>
        <w:spacing w:after="0" w:line="360" w:lineRule="auto"/>
        <w:jc w:val="both"/>
      </w:pPr>
      <w:r>
        <w:t>Olanda recunoaşte prin lege coabitarea neînregistrată din 1979 iar parteneriatul înregistrat din 1999. Toate drepturile şi obligaţiile recunoscute cuplurilor căsătorite sunt recunoscute şi cuplurilor înregistrate. Similar, legislaţia norvegiană consfinţeşte parteneriatul înregistrat din 1993 (</w:t>
      </w:r>
      <w:r>
        <w:rPr>
          <w:i/>
          <w:iCs/>
        </w:rPr>
        <w:t>Lov om registrert partnerskap</w:t>
      </w:r>
      <w:r>
        <w:t>, 1993-04-30 no.40) care asigură cuplurilor înregistrate totalitatea drepturilor, facilităţilor şi responsabilităţilor impozabile cuplurilor căsătorite.</w:t>
      </w:r>
    </w:p>
    <w:p w:rsidR="00176B0B" w:rsidRDefault="00176B0B">
      <w:pPr>
        <w:pStyle w:val="Textbody"/>
        <w:spacing w:after="0" w:line="360" w:lineRule="auto"/>
        <w:jc w:val="both"/>
      </w:pPr>
    </w:p>
    <w:p w:rsidR="00176B0B" w:rsidRDefault="00324358">
      <w:pPr>
        <w:pStyle w:val="Textbody"/>
        <w:spacing w:after="0" w:line="360" w:lineRule="auto"/>
        <w:jc w:val="both"/>
      </w:pPr>
      <w:r>
        <w:t>Legea portugheză din 2001 (</w:t>
      </w:r>
      <w:r>
        <w:rPr>
          <w:i/>
          <w:iCs/>
        </w:rPr>
        <w:t xml:space="preserve">Leis de </w:t>
      </w:r>
      <w:hyperlink r:id="rId9" w:history="1">
        <w:r>
          <w:rPr>
            <w:i/>
            <w:iCs/>
            <w:color w:val="00000A"/>
          </w:rPr>
          <w:t>Uniones de Facto</w:t>
        </w:r>
      </w:hyperlink>
      <w:r>
        <w:rPr>
          <w:i/>
          <w:iCs/>
        </w:rPr>
        <w:t xml:space="preserve"> e de </w:t>
      </w:r>
      <w:hyperlink r:id="rId10" w:history="1">
        <w:r>
          <w:rPr>
            <w:i/>
            <w:iCs/>
            <w:color w:val="00000A"/>
          </w:rPr>
          <w:t xml:space="preserve">Economia </w:t>
        </w:r>
      </w:hyperlink>
      <w:r>
        <w:rPr>
          <w:i/>
          <w:iCs/>
        </w:rPr>
        <w:t>Comun)</w:t>
      </w:r>
      <w:r>
        <w:t xml:space="preserve"> asigură cuplurilor care trăiesc împreună cel puţin doi ani, drepturi similare celor ale cuplurilor căsătorite în ceea ce priveşte regimul de proprietate, închiriere imobiliară, beneficiile de lucru, facilităţile fiscale etc.</w:t>
      </w:r>
    </w:p>
    <w:p w:rsidR="00176B0B" w:rsidRDefault="00176B0B">
      <w:pPr>
        <w:pStyle w:val="Textbody"/>
        <w:spacing w:after="0" w:line="360" w:lineRule="auto"/>
        <w:jc w:val="both"/>
      </w:pPr>
    </w:p>
    <w:p w:rsidR="00176B0B" w:rsidRDefault="00324358">
      <w:pPr>
        <w:pStyle w:val="Textbody"/>
        <w:spacing w:after="0" w:line="360" w:lineRule="auto"/>
        <w:jc w:val="both"/>
      </w:pPr>
      <w:r>
        <w:t>Suedia recunoaşte atât coabitarea neînregistrată (1988) cât şi parteneriatul înregistrat (Act 1994: 117, Decree 1994: 1431) care asigură totalitatea drepturilor şi beneficiilor, inclusiv dreptul la adopţie pentru cuplurile înregistrate în conformitate cu legea.</w:t>
      </w:r>
    </w:p>
    <w:p w:rsidR="00176B0B" w:rsidRDefault="00176B0B">
      <w:pPr>
        <w:pStyle w:val="Standard"/>
        <w:spacing w:after="0" w:line="360" w:lineRule="auto"/>
        <w:jc w:val="both"/>
        <w:rPr>
          <w:rFonts w:ascii="Times New Roman" w:hAnsi="Times New Roman" w:cs="Times New Roman"/>
          <w:sz w:val="24"/>
          <w:szCs w:val="24"/>
        </w:rPr>
      </w:pPr>
    </w:p>
    <w:p w:rsidR="00176B0B" w:rsidRDefault="00324358">
      <w:pPr>
        <w:pStyle w:val="Standard"/>
        <w:spacing w:after="0" w:line="360" w:lineRule="auto"/>
        <w:jc w:val="both"/>
      </w:pPr>
      <w:r>
        <w:rPr>
          <w:rFonts w:ascii="Times New Roman" w:hAnsi="Times New Roman" w:cs="Times New Roman"/>
          <w:sz w:val="24"/>
          <w:szCs w:val="24"/>
        </w:rPr>
        <w:t>In fostul spaţiu comunist, din 2003</w:t>
      </w:r>
      <w:r w:rsidR="00D509B1">
        <w:rPr>
          <w:rFonts w:ascii="Times New Roman" w:hAnsi="Times New Roman" w:cs="Times New Roman"/>
          <w:sz w:val="24"/>
          <w:szCs w:val="24"/>
        </w:rPr>
        <w:t>,</w:t>
      </w:r>
      <w:r>
        <w:rPr>
          <w:rFonts w:ascii="Times New Roman" w:hAnsi="Times New Roman" w:cs="Times New Roman"/>
          <w:sz w:val="24"/>
          <w:szCs w:val="24"/>
        </w:rPr>
        <w:t xml:space="preserve"> Croaţia recunoaşte “coabitabitarea neînregistrată” care asigură cuplurilor care au o vechime dovedită de mai mult de trei ani, drepturi egale în ceea ce priveşte regimul succesiunilor şi al suportului financiar din partea statului (Law on same sex civil union, no. 01-081-03-2597/2, 14 iulie 2003).  Din 2014 o lege a parteneriatului civil înregistrat a fost adoptată însă este aplicabilă exclusiv cuplurilor de același sex asigurând </w:t>
      </w:r>
      <w:r>
        <w:rPr>
          <w:rFonts w:ascii="Times New Roman" w:hAnsi="Times New Roman" w:cs="Times New Roman"/>
          <w:sz w:val="24"/>
          <w:szCs w:val="24"/>
          <w:lang w:val="ro-RO"/>
        </w:rPr>
        <w:t>aceleași drepturi pe care le au cuplurile căsătorite în ceea ce privește moștenirea, obligațiile fiscale, sistemul de ajutor social, asigurările obligatorii de sănătate și sistemul de sănătate, raporturile de muncă și accesul la bunurile și serviciile publice.</w:t>
      </w:r>
    </w:p>
    <w:p w:rsidR="00176B0B" w:rsidRDefault="00176B0B">
      <w:pPr>
        <w:pStyle w:val="Standard"/>
        <w:spacing w:after="0" w:line="360" w:lineRule="auto"/>
        <w:jc w:val="both"/>
        <w:rPr>
          <w:rFonts w:ascii="Times New Roman" w:hAnsi="Times New Roman" w:cs="Times New Roman"/>
          <w:sz w:val="24"/>
          <w:szCs w:val="24"/>
          <w:lang w:val="ro-RO"/>
        </w:rPr>
      </w:pPr>
    </w:p>
    <w:p w:rsidR="00176B0B" w:rsidRDefault="00324358">
      <w:pPr>
        <w:pStyle w:val="Standard"/>
        <w:spacing w:after="0" w:line="360" w:lineRule="auto"/>
        <w:jc w:val="both"/>
      </w:pPr>
      <w:r>
        <w:rPr>
          <w:rFonts w:ascii="Times New Roman" w:hAnsi="Times New Roman" w:cs="Times New Roman"/>
          <w:sz w:val="24"/>
          <w:szCs w:val="24"/>
          <w:lang w:val="ro-RO"/>
        </w:rPr>
        <w:t>În 2016 Estonia a adoptat o lege privind parteneriatul civil care se aplică atât cuplurilor heterosexuale, cât și cuplurilor cu persoane de același sex.</w:t>
      </w:r>
    </w:p>
    <w:p w:rsidR="00176B0B" w:rsidRDefault="00176B0B">
      <w:pPr>
        <w:pStyle w:val="Textbody"/>
        <w:spacing w:after="0" w:line="360" w:lineRule="auto"/>
        <w:jc w:val="both"/>
      </w:pPr>
    </w:p>
    <w:p w:rsidR="00176B0B" w:rsidRDefault="00324358">
      <w:pPr>
        <w:pStyle w:val="Textbody"/>
        <w:spacing w:after="0" w:line="360" w:lineRule="auto"/>
        <w:jc w:val="both"/>
      </w:pPr>
      <w:r>
        <w:lastRenderedPageBreak/>
        <w:t>Legea pentru parteneriatul înregistrat a intrat în vigoare în Republica Cehă la 15 martie 2006 şi include prevederi legate de obligaţia comună de susţinere şi întreţinere, dreptul la succesiune, dreptul de preluare a contractului de închiriere a imobilului închiriat de partener, taxarea comună, posibilitatea de a contracta un avocat în numele partenerului în cazul în care acesta este implicat în un litigiu, dreptul de a refuza depunerea unei mărturii care ar fi defavorabilă partenerului în cazul în care acesta este urmărit penal, dreptul de a avea menţionat statutul de membru al unui parteneriat înregistrat în actele de identitate.</w:t>
      </w:r>
    </w:p>
    <w:p w:rsidR="00176B0B" w:rsidRDefault="00176B0B">
      <w:pPr>
        <w:pStyle w:val="Textbody"/>
        <w:spacing w:after="0" w:line="360" w:lineRule="auto"/>
        <w:jc w:val="both"/>
      </w:pPr>
    </w:p>
    <w:p w:rsidR="00176B0B" w:rsidRDefault="0032435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Codul Civil maghiar a fost modificat in 1996 pentru a include recunoaşterea coabitării neînregistrate, numită şi căsătorie de drept comun. Nu există obl</w:t>
      </w:r>
      <w:r w:rsidR="00D509B1">
        <w:rPr>
          <w:rFonts w:ascii="Times New Roman" w:hAnsi="Times New Roman" w:cs="Times New Roman"/>
          <w:sz w:val="24"/>
          <w:szCs w:val="24"/>
        </w:rPr>
        <w:t xml:space="preserve">igaţia înregistrării cuplului </w:t>
      </w:r>
      <w:r>
        <w:rPr>
          <w:rFonts w:ascii="Times New Roman" w:hAnsi="Times New Roman" w:cs="Times New Roman"/>
          <w:sz w:val="24"/>
          <w:szCs w:val="24"/>
        </w:rPr>
        <w:t>care alege să coabiteze dar pentru a obţine accesul la drepturile şi beneficiile prevăzute de lege, cele două persoane trebuie să aplice la departamentul de relaţii sociale al autorităţii locale respective. Cei doi parteneri din cadrul parteneriatului neînregistrat vor dobândi dreptul de proprietate comună asupra bunurilor dobândite în timpul convieţuirii proporţional cu contribuţia lor. În cazul în care nu se poate determina proporţia contribuţiei partenerilor, aceasta se va considera egală.  Legea XXIX din 2009 privind parte</w:t>
      </w:r>
      <w:r w:rsidR="00335DE2">
        <w:rPr>
          <w:rFonts w:ascii="Times New Roman" w:hAnsi="Times New Roman" w:cs="Times New Roman"/>
          <w:sz w:val="24"/>
          <w:szCs w:val="24"/>
        </w:rPr>
        <w:t xml:space="preserve">neriatele înregistrate vizează </w:t>
      </w:r>
      <w:r>
        <w:rPr>
          <w:rFonts w:ascii="Times New Roman" w:hAnsi="Times New Roman" w:cs="Times New Roman"/>
          <w:sz w:val="24"/>
          <w:szCs w:val="24"/>
        </w:rPr>
        <w:t>exclusiv cuplurile de acelaşi sex. Parteneriatele înregistrate au, în cea mai mare parte, acelaşi regim juridic cu căsătoria, principalele diferenţe fiind: vârsta minimă pentru a încheia un parteneriat este de 18 ani, partenerii înregistraţi nu pot adopta copii şi nu au acces la procedurile de reproducere asistată.</w:t>
      </w:r>
    </w:p>
    <w:p w:rsidR="00176B0B" w:rsidRDefault="00176B0B">
      <w:pPr>
        <w:pStyle w:val="Textbody"/>
        <w:spacing w:after="0" w:line="360" w:lineRule="auto"/>
        <w:jc w:val="both"/>
      </w:pPr>
    </w:p>
    <w:p w:rsidR="00176B0B" w:rsidRDefault="00324358">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Slovenia a adoptat în 2005 legea privind parteneriatul care acoperă relaţiile de proprietate, obligaţia de întreţinere a partenerului şi drepturi succesorale. Legea adoptată în 2016 reglementează înregistrarea parteneriatului civil între persoanele de acelaşi sex și prevede că partenerii au dreptul la întreţinere reciprocă, la regim de proprietate în comun, la dreptul de succesiune asupra bunurilor deţinute în comun cu partenerul decedat sau la succesiune în cote egale cu copii persoanei decedate, precum şi la informaţii cu privire la starea de sănătate a partenerului bolnav şi la vizita în cadrul unităţilor spitaliceşti.</w:t>
      </w:r>
    </w:p>
    <w:p w:rsidR="00176B0B" w:rsidRDefault="00176B0B">
      <w:pPr>
        <w:pStyle w:val="Textbody"/>
        <w:spacing w:after="0" w:line="360" w:lineRule="auto"/>
        <w:jc w:val="both"/>
      </w:pPr>
    </w:p>
    <w:p w:rsidR="00176B0B" w:rsidRDefault="00176B0B">
      <w:pPr>
        <w:pStyle w:val="Textbody"/>
        <w:spacing w:after="0" w:line="360" w:lineRule="auto"/>
        <w:jc w:val="both"/>
      </w:pPr>
    </w:p>
    <w:p w:rsidR="00176B0B" w:rsidRDefault="002369B9">
      <w:pPr>
        <w:pStyle w:val="Textbody"/>
        <w:spacing w:after="0" w:line="360" w:lineRule="auto"/>
        <w:jc w:val="both"/>
      </w:pPr>
      <w:r>
        <w:t>Această lege</w:t>
      </w:r>
      <w:r w:rsidR="00324358">
        <w:t xml:space="preserve"> deschide calea pentru recunoaşterea formei de coabitare alternative căsătoriei: </w:t>
      </w:r>
      <w:r w:rsidR="009A682A" w:rsidRPr="009A682A">
        <w:t>parteneriat</w:t>
      </w:r>
      <w:r w:rsidR="009A682A">
        <w:t>ul</w:t>
      </w:r>
      <w:r w:rsidR="009A682A" w:rsidRPr="009A682A">
        <w:t xml:space="preserve"> civil</w:t>
      </w:r>
      <w:r w:rsidR="00324358">
        <w:t xml:space="preserve">. Propunerea legislativă stabileşte condiţiile de recunoaştere a </w:t>
      </w:r>
      <w:r w:rsidR="009A682A" w:rsidRPr="009A682A">
        <w:t>parteneriat</w:t>
      </w:r>
      <w:r w:rsidR="009A682A">
        <w:t>ului</w:t>
      </w:r>
      <w:r w:rsidR="009A682A" w:rsidRPr="009A682A">
        <w:t xml:space="preserve"> </w:t>
      </w:r>
      <w:r w:rsidR="009A682A" w:rsidRPr="009A682A">
        <w:lastRenderedPageBreak/>
        <w:t>civil</w:t>
      </w:r>
      <w:r w:rsidR="009A682A">
        <w:t xml:space="preserve"> </w:t>
      </w:r>
      <w:r w:rsidR="00324358">
        <w:t xml:space="preserve">prin încheierea acestuia în faţa ofițerului de stare civilă în condiţiile  îndeplinirii condiţiilor stabilite de lege. Legea prevede şi condiţiile de încetare a </w:t>
      </w:r>
      <w:r>
        <w:t xml:space="preserve">parteneriatului civil, </w:t>
      </w:r>
      <w:r w:rsidR="00324358">
        <w:t xml:space="preserve"> precum şi drepturile şi obligaţiile care decurg din încheierea acesteia.</w:t>
      </w:r>
    </w:p>
    <w:p w:rsidR="00176B0B" w:rsidRDefault="00176B0B">
      <w:pPr>
        <w:pStyle w:val="Textbody"/>
        <w:spacing w:after="0" w:line="360" w:lineRule="auto"/>
        <w:jc w:val="both"/>
      </w:pPr>
    </w:p>
    <w:p w:rsidR="00176B0B" w:rsidRDefault="00324358">
      <w:pPr>
        <w:pStyle w:val="Textbody"/>
        <w:spacing w:after="0" w:line="360" w:lineRule="auto"/>
        <w:jc w:val="both"/>
      </w:pPr>
      <w:r>
        <w:t xml:space="preserve">Prezenta iniţiativă legislativă nu implică alocarea de resurse suplimentare de la bugetul de stat deoarece taxele de înregistrare a </w:t>
      </w:r>
      <w:r w:rsidR="002369B9">
        <w:t>parteneriatului civil</w:t>
      </w:r>
      <w:r w:rsidR="00D509B1">
        <w:t>,</w:t>
      </w:r>
      <w:r>
        <w:t xml:space="preserve"> precum şi taxele de </w:t>
      </w:r>
      <w:r w:rsidR="009A682A">
        <w:t xml:space="preserve">notificare a încetării </w:t>
      </w:r>
      <w:r w:rsidR="009A682A" w:rsidRPr="009A682A">
        <w:t>parteneriat</w:t>
      </w:r>
      <w:r w:rsidR="009A682A">
        <w:t>ului</w:t>
      </w:r>
      <w:r w:rsidR="009A682A" w:rsidRPr="009A682A">
        <w:t xml:space="preserve"> civil</w:t>
      </w:r>
      <w:r w:rsidR="00D509B1">
        <w:t>,</w:t>
      </w:r>
      <w:r>
        <w:t xml:space="preserve"> vor acoperi cheltuielile de personal şi administrative care decurg din aplicarea prezent</w:t>
      </w:r>
      <w:r w:rsidR="00335DE2">
        <w:t>ei legi. În schimb, este important</w:t>
      </w:r>
      <w:r>
        <w:t xml:space="preserve"> impactul social al adoptării unor prevederi clare care asigură cadrul legal de protecție și exercitare a dreptului la viață de familie pentru toate cuplurile care aleg să conviețuiască sub forma </w:t>
      </w:r>
      <w:r w:rsidR="002369B9">
        <w:t>parteneriatului civil</w:t>
      </w:r>
      <w:r>
        <w:t>.</w:t>
      </w:r>
    </w:p>
    <w:p w:rsidR="00176B0B" w:rsidRDefault="00176B0B">
      <w:pPr>
        <w:pStyle w:val="Standard"/>
        <w:spacing w:after="0" w:line="360" w:lineRule="auto"/>
        <w:rPr>
          <w:rFonts w:ascii="Times New Roman" w:hAnsi="Times New Roman" w:cs="Times New Roman"/>
          <w:sz w:val="24"/>
          <w:szCs w:val="24"/>
        </w:rPr>
      </w:pPr>
    </w:p>
    <w:p w:rsidR="00176B0B" w:rsidRDefault="00176B0B">
      <w:pPr>
        <w:pStyle w:val="Standard"/>
        <w:spacing w:after="0" w:line="360" w:lineRule="auto"/>
        <w:rPr>
          <w:rFonts w:ascii="Times New Roman" w:hAnsi="Times New Roman" w:cs="Times New Roman"/>
          <w:sz w:val="24"/>
          <w:szCs w:val="24"/>
        </w:rPr>
      </w:pPr>
    </w:p>
    <w:sectPr w:rsidR="00176B0B">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298" w:rsidRDefault="008D5298">
      <w:pPr>
        <w:spacing w:after="0" w:line="240" w:lineRule="auto"/>
      </w:pPr>
      <w:r>
        <w:separator/>
      </w:r>
    </w:p>
  </w:endnote>
  <w:endnote w:type="continuationSeparator" w:id="0">
    <w:p w:rsidR="008D5298" w:rsidRDefault="008D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8E" w:rsidRDefault="00324358">
    <w:pPr>
      <w:pStyle w:val="Footer"/>
    </w:pPr>
    <w:r>
      <w:fldChar w:fldCharType="begin"/>
    </w:r>
    <w:r>
      <w:instrText xml:space="preserve"> PAGE </w:instrText>
    </w:r>
    <w:r>
      <w:fldChar w:fldCharType="separate"/>
    </w:r>
    <w:r w:rsidR="00456A40">
      <w:rPr>
        <w:noProof/>
      </w:rPr>
      <w:t>12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298" w:rsidRDefault="008D5298">
      <w:pPr>
        <w:spacing w:after="0" w:line="240" w:lineRule="auto"/>
      </w:pPr>
      <w:r>
        <w:rPr>
          <w:color w:val="000000"/>
        </w:rPr>
        <w:separator/>
      </w:r>
    </w:p>
  </w:footnote>
  <w:footnote w:type="continuationSeparator" w:id="0">
    <w:p w:rsidR="008D5298" w:rsidRDefault="008D5298">
      <w:pPr>
        <w:spacing w:after="0" w:line="240" w:lineRule="auto"/>
      </w:pPr>
      <w:r>
        <w:continuationSeparator/>
      </w:r>
    </w:p>
  </w:footnote>
  <w:footnote w:id="1">
    <w:p w:rsidR="00176B0B" w:rsidRDefault="00324358">
      <w:pPr>
        <w:pStyle w:val="Standard"/>
      </w:pPr>
      <w:r>
        <w:rPr>
          <w:rStyle w:val="FootnoteReference"/>
        </w:rPr>
        <w:footnoteRef/>
      </w:r>
      <w:hyperlink r:id="rId1" w:history="1">
        <w:r>
          <w:rPr>
            <w:rFonts w:ascii="Times New Roman" w:hAnsi="Times New Roman" w:cs="Times New Roman"/>
            <w:sz w:val="20"/>
            <w:szCs w:val="20"/>
          </w:rPr>
          <w:t>http://europa.eu.int/eur-lex/lex/LexUriServ/site/en/oj/2004/l_229/l_22920040629en00350048.pdf</w:t>
        </w:r>
      </w:hyperlink>
    </w:p>
  </w:footnote>
  <w:footnote w:id="2">
    <w:p w:rsidR="00176B0B" w:rsidRDefault="00324358">
      <w:pPr>
        <w:pStyle w:val="Standard"/>
      </w:pPr>
      <w:r>
        <w:rPr>
          <w:rStyle w:val="FootnoteReference"/>
        </w:rPr>
        <w:footnoteRef/>
      </w:r>
      <w:r>
        <w:rPr>
          <w:rFonts w:ascii="Times New Roman" w:hAnsi="Times New Roman" w:cs="Times New Roman"/>
          <w:sz w:val="20"/>
          <w:szCs w:val="20"/>
        </w:rPr>
        <w:t xml:space="preserve">EU DIRECTIVE ON FREE MOVEMENT AND SAME-SEX FAMILIES: GUIDELINES ON THE IMPLEMENTATION PROCESS, Mark Bell, disponibil la </w:t>
      </w:r>
      <w:hyperlink r:id="rId2" w:history="1">
        <w:r>
          <w:rPr>
            <w:rFonts w:ascii="Times New Roman" w:hAnsi="Times New Roman" w:cs="Times New Roman"/>
            <w:sz w:val="20"/>
            <w:szCs w:val="20"/>
          </w:rPr>
          <w:t>http://www.ilga-europe.org/europe/publications/non_periodical/guidelines_on_the_free_movement_directive_october_2005__1</w:t>
        </w:r>
      </w:hyperlink>
    </w:p>
  </w:footnote>
  <w:footnote w:id="3">
    <w:p w:rsidR="00176B0B" w:rsidRDefault="00324358">
      <w:pPr>
        <w:pStyle w:val="FootnoteText"/>
      </w:pPr>
      <w:r>
        <w:rPr>
          <w:rStyle w:val="FootnoteReference"/>
        </w:rPr>
        <w:footnoteRef/>
      </w:r>
      <w:r>
        <w:t xml:space="preserve">Organizația Națiunilor Unite, Comitetul pentru Drepturile Omului, Report of the Working Group on the issue of discrimination against women in law and in practice, 2 April 2015, A/HRC/29/40. A se vedea de asemenea CCPR/C/89/D/1361/2005; Comitetul ONU pentru Drepturile Omului a decis în cauza </w:t>
      </w:r>
      <w:r>
        <w:rPr>
          <w:i/>
        </w:rPr>
        <w:t>X c. Columbiei</w:t>
      </w:r>
      <w:r>
        <w:t xml:space="preserve"> că refuzul de a recunoaște drepturile la pensie în cazul partenerului de același sex care a supraviețuit constituie o încălcare a dreptului la viaţă private şi de familie.</w:t>
      </w:r>
    </w:p>
  </w:footnote>
  <w:footnote w:id="4">
    <w:p w:rsidR="00176B0B" w:rsidRDefault="00324358">
      <w:pPr>
        <w:pStyle w:val="FootnoteText"/>
      </w:pPr>
      <w:r>
        <w:rPr>
          <w:rStyle w:val="FootnoteReference"/>
        </w:rPr>
        <w:footnoteRef/>
      </w:r>
      <w:r>
        <w:t xml:space="preserve">CtEDO, </w:t>
      </w:r>
      <w:r>
        <w:rPr>
          <w:i/>
        </w:rPr>
        <w:t xml:space="preserve">Oliari și alții c. Italiei, </w:t>
      </w:r>
      <w:r>
        <w:t xml:space="preserve">21 iulie 2015, disponibil la </w:t>
      </w:r>
      <w:hyperlink w:anchor="{&quot;itemid&quot;:[&quot;001-156265&quot;]}" w:history="1">
        <w:r>
          <w:t>http://hudoc.echr.coe.int/eng?i=001-156265&amp;sa=X&amp;ved=0CDUQ9QEwD2oVChMIwICr1bn2xgIVI75yCh186Qh-#{%22itemid%22:[%22001-156265%22]}</w:t>
        </w:r>
      </w:hyperlink>
      <w:r>
        <w:t>.</w:t>
      </w:r>
    </w:p>
  </w:footnote>
  <w:footnote w:id="5">
    <w:p w:rsidR="00176B0B" w:rsidRDefault="00324358">
      <w:pPr>
        <w:pStyle w:val="FootnoteText"/>
      </w:pPr>
      <w:r>
        <w:rPr>
          <w:rStyle w:val="FootnoteReference"/>
        </w:rPr>
        <w:footnoteRef/>
      </w:r>
      <w:r>
        <w:t xml:space="preserve">United Nations, Office of the High Commissioner for Human Rights, Europe Regional Office, Same-Sex Partnership Recognition Case Reaches European Union Court  disponibil la: </w:t>
      </w:r>
      <w:hyperlink r:id="rId3" w:history="1">
        <w:r>
          <w:t>http://europe.ohchr.org/Documents/FinalOUTSameSexPartnershipEquality.pdf</w:t>
        </w:r>
      </w:hyperlink>
      <w:r>
        <w:t>.</w:t>
      </w:r>
    </w:p>
    <w:p w:rsidR="00176B0B" w:rsidRDefault="00176B0B">
      <w:pPr>
        <w:pStyle w:val="FootnoteText"/>
      </w:pPr>
    </w:p>
  </w:footnote>
  <w:footnote w:id="6">
    <w:p w:rsidR="00176B0B" w:rsidRDefault="00324358">
      <w:pPr>
        <w:pStyle w:val="FootnoteText"/>
      </w:pPr>
      <w:r>
        <w:rPr>
          <w:rStyle w:val="FootnoteReference"/>
        </w:rPr>
        <w:footnoteRef/>
      </w:r>
      <w:r>
        <w:t xml:space="preserve">Report of the High Commissioner for Human Rights on discrimination and violence against individuals based on their sexual orientation and gender identity (A/HRC/29/23), May 2015 and “Living Free and Equal”, OHCHR, Geneva and New York, 2016, disponibil la: </w:t>
      </w:r>
      <w:hyperlink r:id="rId4" w:history="1">
        <w:r>
          <w:t>http://www.ohchr.org/EN/Issues/Discrimination/Pages/LGBTUNReports.aspx</w:t>
        </w:r>
      </w:hyperlink>
      <w:r>
        <w:t>.</w:t>
      </w:r>
    </w:p>
  </w:footnote>
  <w:footnote w:id="7">
    <w:p w:rsidR="00176B0B" w:rsidRDefault="00324358">
      <w:pPr>
        <w:pStyle w:val="FootnoteText"/>
      </w:pPr>
      <w:r>
        <w:rPr>
          <w:rStyle w:val="FootnoteReference"/>
        </w:rPr>
        <w:footnoteRef/>
      </w:r>
      <w:r>
        <w:t xml:space="preserve">Lege disponibilă la  </w:t>
      </w:r>
      <w:hyperlink r:id="rId5" w:history="1">
        <w:r>
          <w:t xml:space="preserve">http://bundesrecht.juris.de/bundesrecht/lpartg/gesamt.pdf </w:t>
        </w:r>
      </w:hyperlink>
      <w:r>
        <w:t>.</w:t>
      </w:r>
    </w:p>
  </w:footnote>
  <w:footnote w:id="8">
    <w:p w:rsidR="00176B0B" w:rsidRDefault="00324358">
      <w:pPr>
        <w:pStyle w:val="FootnoteText"/>
      </w:pPr>
      <w:r>
        <w:rPr>
          <w:rStyle w:val="FootnoteReference"/>
        </w:rPr>
        <w:footnoteRef/>
      </w:r>
      <w:r>
        <w:t xml:space="preserve">Civil Partnership Act este disponibil la </w:t>
      </w:r>
      <w:hyperlink r:id="rId6" w:history="1">
        <w:r>
          <w:t>http://www.legislation.hmso.gov.uk/acts/acts2004/20040033.htm</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C7E25"/>
    <w:multiLevelType w:val="multilevel"/>
    <w:tmpl w:val="6A8E5B78"/>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0B"/>
    <w:rsid w:val="00176B0B"/>
    <w:rsid w:val="002369B9"/>
    <w:rsid w:val="002E4F76"/>
    <w:rsid w:val="00324358"/>
    <w:rsid w:val="00335DE2"/>
    <w:rsid w:val="003F4D5D"/>
    <w:rsid w:val="00456A40"/>
    <w:rsid w:val="00512C02"/>
    <w:rsid w:val="008D5298"/>
    <w:rsid w:val="009A682A"/>
    <w:rsid w:val="00D509B1"/>
    <w:rsid w:val="00DC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en-US" w:eastAsia="en-US" w:bidi="ar-SA"/>
      </w:rPr>
    </w:rPrDefault>
    <w:pPrDefault>
      <w:pPr>
        <w:widowControl w:val="0"/>
        <w:autoSpaceDN w:val="0"/>
        <w:spacing w:after="160" w:line="251"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line="240" w:lineRule="auto"/>
    </w:pPr>
    <w:rPr>
      <w:rFonts w:ascii="Times New Roman" w:eastAsia="Times New Roman" w:hAnsi="Times New Roman" w:cs="Times New Roman"/>
      <w:sz w:val="24"/>
      <w:szCs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FootnoteText">
    <w:name w:val="footnote text"/>
    <w:basedOn w:val="Standard"/>
    <w:pPr>
      <w:spacing w:after="0" w:line="240" w:lineRule="auto"/>
    </w:pPr>
    <w:rPr>
      <w:rFonts w:ascii="Times New Roman" w:eastAsia="Times New Roman" w:hAnsi="Times New Roman" w:cs="Times New Roman"/>
      <w:sz w:val="20"/>
      <w:szCs w:val="20"/>
      <w:lang w:val="en-GB"/>
    </w:rPr>
  </w:style>
  <w:style w:type="paragraph" w:customStyle="1" w:styleId="Textbodyindent">
    <w:name w:val="Text body indent"/>
    <w:basedOn w:val="Standard"/>
    <w:pPr>
      <w:spacing w:before="120" w:after="0" w:line="240" w:lineRule="auto"/>
      <w:ind w:left="283" w:firstLine="720"/>
      <w:jc w:val="both"/>
    </w:pPr>
    <w:rPr>
      <w:rFonts w:ascii="Times New Roman" w:eastAsia="Times New Roman" w:hAnsi="Times New Roman" w:cs="Times New Roman"/>
      <w:sz w:val="24"/>
      <w:szCs w:val="24"/>
      <w:lang w:val="ro-RO"/>
    </w:rPr>
  </w:style>
  <w:style w:type="paragraph" w:styleId="Title">
    <w:name w:val="Title"/>
    <w:basedOn w:val="Standard"/>
    <w:next w:val="Subtitle"/>
    <w:pPr>
      <w:spacing w:after="0" w:line="240" w:lineRule="auto"/>
      <w:jc w:val="center"/>
    </w:pPr>
    <w:rPr>
      <w:rFonts w:ascii="Times New Roman" w:eastAsia="Times New Roman" w:hAnsi="Times New Roman" w:cs="Times New Roman"/>
      <w:b/>
      <w:bCs/>
      <w:sz w:val="28"/>
      <w:szCs w:val="24"/>
    </w:rPr>
  </w:style>
  <w:style w:type="paragraph" w:styleId="Subtitle">
    <w:name w:val="Subtitle"/>
    <w:basedOn w:val="Heading"/>
    <w:next w:val="Textbody"/>
    <w:pPr>
      <w:jc w:val="center"/>
    </w:pPr>
    <w:rPr>
      <w:i/>
      <w:iCs/>
    </w:rPr>
  </w:style>
  <w:style w:type="paragraph" w:styleId="Header">
    <w:name w:val="header"/>
    <w:basedOn w:val="Standard"/>
    <w:pPr>
      <w:suppressLineNumbers/>
      <w:tabs>
        <w:tab w:val="center" w:pos="4320"/>
        <w:tab w:val="right" w:pos="8640"/>
      </w:tabs>
      <w:spacing w:after="0" w:line="276" w:lineRule="auto"/>
      <w:jc w:val="both"/>
    </w:pPr>
    <w:rPr>
      <w:rFonts w:eastAsia="Times New Roman" w:cs="Times New Roman"/>
    </w:rPr>
  </w:style>
  <w:style w:type="paragraph" w:styleId="Footer">
    <w:name w:val="footer"/>
    <w:basedOn w:val="Standard"/>
    <w:pPr>
      <w:suppressLineNumbers/>
      <w:tabs>
        <w:tab w:val="center" w:pos="4680"/>
        <w:tab w:val="right" w:pos="9360"/>
      </w:tabs>
      <w:spacing w:after="0" w:line="240" w:lineRule="auto"/>
    </w:pPr>
  </w:style>
  <w:style w:type="paragraph" w:styleId="NormalWeb">
    <w:name w:val="Normal (Web)"/>
    <w:basedOn w:val="Standard"/>
    <w:pPr>
      <w:spacing w:before="100" w:after="28" w:line="240" w:lineRule="auto"/>
    </w:pPr>
    <w:rPr>
      <w:rFonts w:ascii="Times New Roman" w:eastAsia="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val="en-GB"/>
    </w:rPr>
  </w:style>
  <w:style w:type="character" w:styleId="FootnoteReference">
    <w:name w:val="footnote reference"/>
    <w:basedOn w:val="DefaultParagraphFont"/>
    <w:rPr>
      <w:position w:val="0"/>
      <w:vertAlign w:val="superscript"/>
    </w:rPr>
  </w:style>
  <w:style w:type="character" w:customStyle="1" w:styleId="tpa">
    <w:name w:val="tpa"/>
    <w:basedOn w:val="DefaultParagraphFont"/>
  </w:style>
  <w:style w:type="character" w:customStyle="1" w:styleId="BodyTextIndentChar">
    <w:name w:val="Body Text Indent Char"/>
    <w:basedOn w:val="DefaultParagraphFont"/>
    <w:rPr>
      <w:rFonts w:ascii="Times New Roman" w:eastAsia="Times New Roman" w:hAnsi="Times New Roman" w:cs="Times New Roman"/>
      <w:sz w:val="24"/>
      <w:szCs w:val="24"/>
      <w:lang w:val="ro-RO"/>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TitleChar">
    <w:name w:val="Title Char"/>
    <w:basedOn w:val="DefaultParagraphFont"/>
    <w:rPr>
      <w:rFonts w:ascii="Times New Roman" w:eastAsia="Times New Roman" w:hAnsi="Times New Roman" w:cs="Times New Roman"/>
      <w:b/>
      <w:bCs/>
      <w:sz w:val="28"/>
      <w:szCs w:val="24"/>
    </w:rPr>
  </w:style>
  <w:style w:type="character" w:customStyle="1" w:styleId="Internetlink">
    <w:name w:val="Internet link"/>
    <w:basedOn w:val="DefaultParagraphFont"/>
    <w:rPr>
      <w:strike w:val="0"/>
      <w:dstrike w:val="0"/>
      <w:color w:val="092A91"/>
      <w:u w:val="none"/>
    </w:rPr>
  </w:style>
  <w:style w:type="character" w:customStyle="1" w:styleId="HeaderChar">
    <w:name w:val="Header Char"/>
    <w:basedOn w:val="DefaultParagraphFont"/>
    <w:rPr>
      <w:rFonts w:ascii="Calibri" w:eastAsia="Times New Roman" w:hAnsi="Calibri" w:cs="Times New Roman"/>
    </w:rPr>
  </w:style>
  <w:style w:type="character" w:customStyle="1" w:styleId="FooterChar">
    <w:name w:val="Footer Char"/>
    <w:basedOn w:val="DefaultParagraphFont"/>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numbering" w:customStyle="1" w:styleId="WWNum1">
    <w:name w:val="WWNum1"/>
    <w:basedOn w:val="NoList"/>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en-US" w:eastAsia="en-US" w:bidi="ar-SA"/>
      </w:rPr>
    </w:rPrDefault>
    <w:pPrDefault>
      <w:pPr>
        <w:widowControl w:val="0"/>
        <w:autoSpaceDN w:val="0"/>
        <w:spacing w:after="160" w:line="251"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line="240" w:lineRule="auto"/>
    </w:pPr>
    <w:rPr>
      <w:rFonts w:ascii="Times New Roman" w:eastAsia="Times New Roman" w:hAnsi="Times New Roman" w:cs="Times New Roman"/>
      <w:sz w:val="24"/>
      <w:szCs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FootnoteText">
    <w:name w:val="footnote text"/>
    <w:basedOn w:val="Standard"/>
    <w:pPr>
      <w:spacing w:after="0" w:line="240" w:lineRule="auto"/>
    </w:pPr>
    <w:rPr>
      <w:rFonts w:ascii="Times New Roman" w:eastAsia="Times New Roman" w:hAnsi="Times New Roman" w:cs="Times New Roman"/>
      <w:sz w:val="20"/>
      <w:szCs w:val="20"/>
      <w:lang w:val="en-GB"/>
    </w:rPr>
  </w:style>
  <w:style w:type="paragraph" w:customStyle="1" w:styleId="Textbodyindent">
    <w:name w:val="Text body indent"/>
    <w:basedOn w:val="Standard"/>
    <w:pPr>
      <w:spacing w:before="120" w:after="0" w:line="240" w:lineRule="auto"/>
      <w:ind w:left="283" w:firstLine="720"/>
      <w:jc w:val="both"/>
    </w:pPr>
    <w:rPr>
      <w:rFonts w:ascii="Times New Roman" w:eastAsia="Times New Roman" w:hAnsi="Times New Roman" w:cs="Times New Roman"/>
      <w:sz w:val="24"/>
      <w:szCs w:val="24"/>
      <w:lang w:val="ro-RO"/>
    </w:rPr>
  </w:style>
  <w:style w:type="paragraph" w:styleId="Title">
    <w:name w:val="Title"/>
    <w:basedOn w:val="Standard"/>
    <w:next w:val="Subtitle"/>
    <w:pPr>
      <w:spacing w:after="0" w:line="240" w:lineRule="auto"/>
      <w:jc w:val="center"/>
    </w:pPr>
    <w:rPr>
      <w:rFonts w:ascii="Times New Roman" w:eastAsia="Times New Roman" w:hAnsi="Times New Roman" w:cs="Times New Roman"/>
      <w:b/>
      <w:bCs/>
      <w:sz w:val="28"/>
      <w:szCs w:val="24"/>
    </w:rPr>
  </w:style>
  <w:style w:type="paragraph" w:styleId="Subtitle">
    <w:name w:val="Subtitle"/>
    <w:basedOn w:val="Heading"/>
    <w:next w:val="Textbody"/>
    <w:pPr>
      <w:jc w:val="center"/>
    </w:pPr>
    <w:rPr>
      <w:i/>
      <w:iCs/>
    </w:rPr>
  </w:style>
  <w:style w:type="paragraph" w:styleId="Header">
    <w:name w:val="header"/>
    <w:basedOn w:val="Standard"/>
    <w:pPr>
      <w:suppressLineNumbers/>
      <w:tabs>
        <w:tab w:val="center" w:pos="4320"/>
        <w:tab w:val="right" w:pos="8640"/>
      </w:tabs>
      <w:spacing w:after="0" w:line="276" w:lineRule="auto"/>
      <w:jc w:val="both"/>
    </w:pPr>
    <w:rPr>
      <w:rFonts w:eastAsia="Times New Roman" w:cs="Times New Roman"/>
    </w:rPr>
  </w:style>
  <w:style w:type="paragraph" w:styleId="Footer">
    <w:name w:val="footer"/>
    <w:basedOn w:val="Standard"/>
    <w:pPr>
      <w:suppressLineNumbers/>
      <w:tabs>
        <w:tab w:val="center" w:pos="4680"/>
        <w:tab w:val="right" w:pos="9360"/>
      </w:tabs>
      <w:spacing w:after="0" w:line="240" w:lineRule="auto"/>
    </w:pPr>
  </w:style>
  <w:style w:type="paragraph" w:styleId="NormalWeb">
    <w:name w:val="Normal (Web)"/>
    <w:basedOn w:val="Standard"/>
    <w:pPr>
      <w:spacing w:before="100" w:after="28" w:line="240" w:lineRule="auto"/>
    </w:pPr>
    <w:rPr>
      <w:rFonts w:ascii="Times New Roman" w:eastAsia="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lang w:val="en-GB"/>
    </w:rPr>
  </w:style>
  <w:style w:type="character" w:styleId="FootnoteReference">
    <w:name w:val="footnote reference"/>
    <w:basedOn w:val="DefaultParagraphFont"/>
    <w:rPr>
      <w:position w:val="0"/>
      <w:vertAlign w:val="superscript"/>
    </w:rPr>
  </w:style>
  <w:style w:type="character" w:customStyle="1" w:styleId="tpa">
    <w:name w:val="tpa"/>
    <w:basedOn w:val="DefaultParagraphFont"/>
  </w:style>
  <w:style w:type="character" w:customStyle="1" w:styleId="BodyTextIndentChar">
    <w:name w:val="Body Text Indent Char"/>
    <w:basedOn w:val="DefaultParagraphFont"/>
    <w:rPr>
      <w:rFonts w:ascii="Times New Roman" w:eastAsia="Times New Roman" w:hAnsi="Times New Roman" w:cs="Times New Roman"/>
      <w:sz w:val="24"/>
      <w:szCs w:val="24"/>
      <w:lang w:val="ro-RO"/>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TitleChar">
    <w:name w:val="Title Char"/>
    <w:basedOn w:val="DefaultParagraphFont"/>
    <w:rPr>
      <w:rFonts w:ascii="Times New Roman" w:eastAsia="Times New Roman" w:hAnsi="Times New Roman" w:cs="Times New Roman"/>
      <w:b/>
      <w:bCs/>
      <w:sz w:val="28"/>
      <w:szCs w:val="24"/>
    </w:rPr>
  </w:style>
  <w:style w:type="character" w:customStyle="1" w:styleId="Internetlink">
    <w:name w:val="Internet link"/>
    <w:basedOn w:val="DefaultParagraphFont"/>
    <w:rPr>
      <w:strike w:val="0"/>
      <w:dstrike w:val="0"/>
      <w:color w:val="092A91"/>
      <w:u w:val="none"/>
    </w:rPr>
  </w:style>
  <w:style w:type="character" w:customStyle="1" w:styleId="HeaderChar">
    <w:name w:val="Header Char"/>
    <w:basedOn w:val="DefaultParagraphFont"/>
    <w:rPr>
      <w:rFonts w:ascii="Calibri" w:eastAsia="Times New Roman" w:hAnsi="Calibri" w:cs="Times New Roman"/>
    </w:rPr>
  </w:style>
  <w:style w:type="character" w:customStyle="1" w:styleId="FooterChar">
    <w:name w:val="Footer Char"/>
    <w:basedOn w:val="DefaultParagraphFont"/>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1440">
      <w:bodyDiv w:val="1"/>
      <w:marLeft w:val="0"/>
      <w:marRight w:val="0"/>
      <w:marTop w:val="0"/>
      <w:marBottom w:val="0"/>
      <w:divBdr>
        <w:top w:val="none" w:sz="0" w:space="0" w:color="auto"/>
        <w:left w:val="none" w:sz="0" w:space="0" w:color="auto"/>
        <w:bottom w:val="none" w:sz="0" w:space="0" w:color="auto"/>
        <w:right w:val="none" w:sz="0" w:space="0" w:color="auto"/>
      </w:divBdr>
    </w:div>
    <w:div w:id="17804907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urope.ohchr.org/EN/Pages/WelcomePage.aspx" TargetMode="External"/><Relationship Id="rId9" Type="http://schemas.openxmlformats.org/officeDocument/2006/relationships/hyperlink" Target="http://portugalgay.pt/politica/parlamento03.asp" TargetMode="External"/><Relationship Id="rId10" Type="http://schemas.openxmlformats.org/officeDocument/2006/relationships/hyperlink" Target="http://portugalgay.pt/politica/parlamento02.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urope.ohchr.org/Documents/FinalOUTSameSexPartnershipEquality.pdf" TargetMode="External"/><Relationship Id="rId4" Type="http://schemas.openxmlformats.org/officeDocument/2006/relationships/hyperlink" Target="http://www.ohchr.org/EN/Issues/Discrimination/Pages/LGBTUNReports.aspx" TargetMode="External"/><Relationship Id="rId5" Type="http://schemas.openxmlformats.org/officeDocument/2006/relationships/hyperlink" Target="http://bundesrecht.juris.de/bundesrecht/lpartg/gesamt.pdf" TargetMode="External"/><Relationship Id="rId6" Type="http://schemas.openxmlformats.org/officeDocument/2006/relationships/hyperlink" Target="http://www.legislation.hmso.gov.uk/acts/acts2004/20040033.htm" TargetMode="External"/><Relationship Id="rId1" Type="http://schemas.openxmlformats.org/officeDocument/2006/relationships/hyperlink" Target="http://europa.eu.int/eur-lex/lex/LexUriServ/site/en/oj/2004/l_229/l_22920040629en00350048.pdf" TargetMode="External"/><Relationship Id="rId2" Type="http://schemas.openxmlformats.org/officeDocument/2006/relationships/hyperlink" Target="http://www.ilga-europe.org/europe/publications/non_periodical/guidelines_on_the_free_movement_directive_october_2005_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3861</Words>
  <Characters>22013</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Romanita Iordache</dc:creator>
  <cp:lastModifiedBy>Luca Lucasenko</cp:lastModifiedBy>
  <cp:revision>2</cp:revision>
  <dcterms:created xsi:type="dcterms:W3CDTF">2018-10-31T11:51:00Z</dcterms:created>
  <dcterms:modified xsi:type="dcterms:W3CDTF">2018-10-31T11:51:00Z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